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rtl w:val="0"/>
        </w:rPr>
        <w:t xml:space="preserve">Literature Survey :</w:t>
      </w: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45"/>
        <w:gridCol w:w="1650"/>
        <w:gridCol w:w="3450"/>
        <w:gridCol w:w="1890"/>
        <w:tblGridChange w:id="0">
          <w:tblGrid>
            <w:gridCol w:w="525"/>
            <w:gridCol w:w="1845"/>
            <w:gridCol w:w="1650"/>
            <w:gridCol w:w="3450"/>
            <w:gridCol w:w="18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pPr>
            <w:r w:rsidDel="00000000" w:rsidR="00000000" w:rsidRPr="00000000">
              <w:rPr>
                <w:rtl w:val="0"/>
              </w:rPr>
              <w:t xml:space="preserve">Sr.No</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pPr>
            <w:r w:rsidDel="00000000" w:rsidR="00000000" w:rsidRPr="00000000">
              <w:rPr>
                <w:rtl w:val="0"/>
              </w:rPr>
              <w:t xml:space="preserve">Author name and Year</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pPr>
            <w:r w:rsidDel="00000000" w:rsidR="00000000" w:rsidRPr="00000000">
              <w:rPr>
                <w:rtl w:val="0"/>
              </w:rPr>
              <w:t xml:space="preserve">Paper Title</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Gaps</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1.Aliza Bt. Sarlan.</w:t>
            </w:r>
          </w:p>
          <w:p w:rsidR="00000000" w:rsidDel="00000000" w:rsidP="00000000" w:rsidRDefault="00000000" w:rsidRPr="00000000" w14:paraId="0000000A">
            <w:pPr>
              <w:widowControl w:val="0"/>
              <w:spacing w:line="240" w:lineRule="auto"/>
              <w:rPr/>
            </w:pPr>
            <w:r w:rsidDel="00000000" w:rsidR="00000000" w:rsidRPr="00000000">
              <w:rPr>
                <w:rtl w:val="0"/>
              </w:rPr>
              <w:t xml:space="preserve">2.Wan Fatimah Bt Wan Ahmad. 3.Dismas Bismo. </w:t>
            </w:r>
          </w:p>
          <w:p w:rsidR="00000000" w:rsidDel="00000000" w:rsidP="00000000" w:rsidRDefault="00000000" w:rsidRPr="00000000" w14:paraId="0000000B">
            <w:pPr>
              <w:widowControl w:val="0"/>
              <w:spacing w:line="240" w:lineRule="auto"/>
              <w:rPr/>
            </w:pPr>
            <w:r w:rsidDel="00000000" w:rsidR="00000000" w:rsidRPr="00000000">
              <w:rPr>
                <w:rtl w:val="0"/>
              </w:rPr>
              <w:t xml:space="preserve">2008</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 Student Industrial Internship Web Portal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Student Industrial Internship Web Portal (SIIWP) has been developed to automate the currently manual business processes. The portal allows internship eligibility checking, registration, student-lecturer assignment, visit schedule, online-logbook submission and monitoring as well as grade book of industrial internship program. PHP 5, Easy PHP 2.0, Macromedia Dreamweaver MX 2004, MySQL Database and Apache Web Server are used to develop SIIWP. Phased development model has been used in the development process by applying business process improvement techniques.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1.Limited direct communication between users.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2.Direct Communication Media: Forum, Blogs, Chat Systems can be added so that users of SWIIP can communicate and share their experiences with each other</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3.Data Mining: An effective data mining technique can be implemented to SIIWP to provide users a more desirable view of the database. .</w:t>
            </w:r>
          </w:p>
        </w:tc>
      </w:tr>
    </w:tbl>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45"/>
        <w:gridCol w:w="1650"/>
        <w:gridCol w:w="3450"/>
        <w:gridCol w:w="1890"/>
        <w:tblGridChange w:id="0">
          <w:tblGrid>
            <w:gridCol w:w="525"/>
            <w:gridCol w:w="1845"/>
            <w:gridCol w:w="1650"/>
            <w:gridCol w:w="3450"/>
            <w:gridCol w:w="18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Sr.No</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Author name and Year</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Paper Title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Gaps</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Kapil Bakshi</w:t>
            </w:r>
          </w:p>
          <w:p w:rsidR="00000000" w:rsidDel="00000000" w:rsidP="00000000" w:rsidRDefault="00000000" w:rsidRPr="00000000" w14:paraId="0000001F">
            <w:pPr>
              <w:spacing w:line="240" w:lineRule="auto"/>
              <w:rPr/>
            </w:pPr>
            <w:r w:rsidDel="00000000" w:rsidR="00000000" w:rsidRPr="00000000">
              <w:rPr>
                <w:rtl w:val="0"/>
              </w:rPr>
              <w:t xml:space="preserve">2017</w:t>
            </w:r>
          </w:p>
          <w:p w:rsidR="00000000" w:rsidDel="00000000" w:rsidP="00000000" w:rsidRDefault="00000000" w:rsidRPr="00000000" w14:paraId="0000002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Microservices-Based Software Architecture and Approaches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The microservices architectural style develops a single application as a suite of small services, each running in its own process and communicating with lightweight mechanisms. These services are built around business and mission capabilities and independently deployable by fully automated machinery. With microservices, some types of applications become easier to build and maintain when they are broken down into smaller, composable pieces that work together. Each component is then developed separately, and the application is then simply the sum of its constituent components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1.There is also a lack of frameworks to support this from an operational perspective</w:t>
            </w:r>
          </w:p>
          <w:p w:rsidR="00000000" w:rsidDel="00000000" w:rsidP="00000000" w:rsidRDefault="00000000" w:rsidRPr="00000000" w14:paraId="00000024">
            <w:pPr>
              <w:widowControl w:val="0"/>
              <w:spacing w:line="240" w:lineRule="auto"/>
              <w:rPr/>
            </w:pPr>
            <w:r w:rsidDel="00000000" w:rsidR="00000000" w:rsidRPr="00000000">
              <w:rPr>
                <w:rtl w:val="0"/>
              </w:rPr>
              <w:t xml:space="preserve">2. substantial DevOps skills are required to keep microservices running and available</w:t>
            </w:r>
          </w:p>
          <w:p w:rsidR="00000000" w:rsidDel="00000000" w:rsidP="00000000" w:rsidRDefault="00000000" w:rsidRPr="00000000" w14:paraId="00000025">
            <w:pPr>
              <w:widowControl w:val="0"/>
              <w:spacing w:line="240" w:lineRule="auto"/>
              <w:rPr/>
            </w:pPr>
            <w:r w:rsidDel="00000000" w:rsidR="00000000" w:rsidRPr="00000000">
              <w:rPr>
                <w:rtl w:val="0"/>
              </w:rPr>
              <w:t xml:space="preserve">3. when breaking an existing monolithic system into collaborating components, you are introducing interfaces between them</w:t>
            </w:r>
          </w:p>
          <w:p w:rsidR="00000000" w:rsidDel="00000000" w:rsidP="00000000" w:rsidRDefault="00000000" w:rsidRPr="00000000" w14:paraId="00000026">
            <w:pPr>
              <w:widowControl w:val="0"/>
              <w:spacing w:line="240" w:lineRule="auto"/>
              <w:rPr/>
            </w:pPr>
            <w:r w:rsidDel="00000000" w:rsidR="00000000" w:rsidRPr="00000000">
              <w:rPr>
                <w:rtl w:val="0"/>
              </w:rPr>
              <w:t xml:space="preserve"> </w:t>
            </w:r>
          </w:p>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spacing w:line="276" w:lineRule="auto"/>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45"/>
        <w:gridCol w:w="1650"/>
        <w:gridCol w:w="3450"/>
        <w:gridCol w:w="1890"/>
        <w:tblGridChange w:id="0">
          <w:tblGrid>
            <w:gridCol w:w="525"/>
            <w:gridCol w:w="1845"/>
            <w:gridCol w:w="1650"/>
            <w:gridCol w:w="3450"/>
            <w:gridCol w:w="18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Sr.No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Author name and Year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Paper Title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Gaps</w:t>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FU Yue</w:t>
            </w:r>
          </w:p>
          <w:p w:rsidR="00000000" w:rsidDel="00000000" w:rsidP="00000000" w:rsidRDefault="00000000" w:rsidRPr="00000000" w14:paraId="00000030">
            <w:pPr>
              <w:widowControl w:val="0"/>
              <w:spacing w:line="240" w:lineRule="auto"/>
              <w:rPr/>
            </w:pPr>
            <w:r w:rsidDel="00000000" w:rsidR="00000000" w:rsidRPr="00000000">
              <w:rPr>
                <w:rtl w:val="0"/>
              </w:rPr>
              <w:t xml:space="preserve">2016</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A Study of Student Information Management Software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MIS (Management Information System) can provide information to support the operation, management and decision-making functions of enterprises or organizations ,various students-related information contents are doubled.. Through this system, the standardized management, scientific statistics and fast query of student information can be realized, and thus the workload of management can be reduced. In this paper, a typical student information management system will be established to realize the systematization, standardization and automation of student information relationships.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1. Solve the problems arising from the practical application of published software system  2.make improvements and upgrades of software according to the changes in the practical application environment</w:t>
            </w:r>
          </w:p>
          <w:p w:rsidR="00000000" w:rsidDel="00000000" w:rsidP="00000000" w:rsidRDefault="00000000" w:rsidRPr="00000000" w14:paraId="00000034">
            <w:pPr>
              <w:widowControl w:val="0"/>
              <w:spacing w:line="240" w:lineRule="auto"/>
              <w:rPr/>
            </w:pPr>
            <w:r w:rsidDel="00000000" w:rsidR="00000000" w:rsidRPr="00000000">
              <w:rPr>
                <w:rtl w:val="0"/>
              </w:rPr>
              <w:t xml:space="preserve">3. Student information source should include two modes, i.e. manual and automatic</w:t>
            </w:r>
          </w:p>
        </w:tc>
      </w:tr>
    </w:tbl>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665"/>
        <w:gridCol w:w="1665"/>
        <w:gridCol w:w="3210"/>
        <w:gridCol w:w="2250"/>
        <w:tblGridChange w:id="0">
          <w:tblGrid>
            <w:gridCol w:w="555"/>
            <w:gridCol w:w="1665"/>
            <w:gridCol w:w="1665"/>
            <w:gridCol w:w="321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Name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Kamal Karkonasasi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Muhamad Amirul Bin Mat Hussain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Ahmad Suhaimi Baharudin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USM Internship and Career Portal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 of the information technology in the people’s lives is rapidly becoming more important every day. The development and use of the web page or portal is also part of this information technology and becoming more popular among people because it makes easier for people to access the information and services all over the world. Therefore, this paper will discuss the details about the development of the USM Internship and Career Portal. This portal is developed in order to overcome the problem and limitation that arise when using the manual system. The current system which is not efficient and effective in the workflow is no longer reliable to use now. The proposed system is divided into seven modules which is Profile module, Internship module, Career module, Forum module, Evaluation module, Report module, and Logbook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Vulnerable to Cross site scripting attacks.</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Database is not normalised.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jc w:val="center"/>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45"/>
        <w:gridCol w:w="1650"/>
        <w:gridCol w:w="3450"/>
        <w:gridCol w:w="1890"/>
        <w:tblGridChange w:id="0">
          <w:tblGrid>
            <w:gridCol w:w="525"/>
            <w:gridCol w:w="1845"/>
            <w:gridCol w:w="1650"/>
            <w:gridCol w:w="3450"/>
            <w:gridCol w:w="18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Sr.No</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Author name and Year</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Paper Title</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Gaps</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pPr>
            <w:hyperlink r:id="rId6">
              <w:r w:rsidDel="00000000" w:rsidR="00000000" w:rsidRPr="00000000">
                <w:rPr>
                  <w:color w:val="333333"/>
                  <w:sz w:val="21"/>
                  <w:szCs w:val="21"/>
                  <w:shd w:fill="fcfcfc" w:val="clear"/>
                  <w:rtl w:val="0"/>
                </w:rPr>
                <w:t xml:space="preserve">David A. Teich</w:t>
              </w:r>
            </w:hyperlink>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shd w:fill="fcfcfc" w:val="clear"/>
              <w:spacing w:after="0" w:before="240" w:line="292.8" w:lineRule="auto"/>
              <w:rPr/>
            </w:pPr>
            <w:r w:rsidDel="00000000" w:rsidR="00000000" w:rsidRPr="00000000">
              <w:rPr>
                <w:rtl w:val="0"/>
              </w:rPr>
              <w:t xml:space="preserve">Management AI: Recommendation Systems</w:t>
            </w:r>
          </w:p>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Recommendation systems first came to prominence through Amazon (NASDAQ:AMZN) suggesting what people might like based purchase history. That then expanded to more stores and to streaming services. Now business intelligence (BI) vendors and other ISVs are adding such systems to enhance user experience in understanding data and analysis.</w:t>
            </w:r>
          </w:p>
        </w:tc>
        <w:tc>
          <w:tcPr>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rPr/>
            </w:pPr>
            <w:r w:rsidDel="00000000" w:rsidR="00000000" w:rsidRPr="00000000">
              <w:rPr>
                <w:rtl w:val="0"/>
              </w:rPr>
              <w:t xml:space="preserve">1.The Latent Factor Model is the most complex of the three models. In it, the objects accessed are defined by a series of attributes of the people using those objects. </w:t>
            </w:r>
          </w:p>
          <w:p w:rsidR="00000000" w:rsidDel="00000000" w:rsidP="00000000" w:rsidRDefault="00000000" w:rsidRPr="00000000" w14:paraId="00000056">
            <w:pPr>
              <w:spacing w:line="240" w:lineRule="auto"/>
              <w:rPr/>
            </w:pPr>
            <w:r w:rsidDel="00000000" w:rsidR="00000000" w:rsidRPr="00000000">
              <w:rPr>
                <w:rtl w:val="0"/>
              </w:rPr>
              <w:t xml:space="preserve">2.The neighborhood model takes a look at a cohort of people similar to the particular user.</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 </w:t>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Links :</w:t>
      </w:r>
    </w:p>
    <w:p w:rsidR="00000000" w:rsidDel="00000000" w:rsidP="00000000" w:rsidRDefault="00000000" w:rsidRPr="00000000" w14:paraId="0000005D">
      <w:pPr>
        <w:spacing w:line="276" w:lineRule="auto"/>
        <w:rPr/>
      </w:pPr>
      <w:r w:rsidDel="00000000" w:rsidR="00000000" w:rsidRPr="00000000">
        <w:rPr>
          <w:rtl w:val="0"/>
        </w:rPr>
        <w:t xml:space="preserve">1. </w:t>
      </w:r>
      <w:hyperlink r:id="rId7">
        <w:r w:rsidDel="00000000" w:rsidR="00000000" w:rsidRPr="00000000">
          <w:rPr>
            <w:color w:val="1155cc"/>
            <w:u w:val="single"/>
            <w:rtl w:val="0"/>
          </w:rPr>
          <w:t xml:space="preserve">https://d1wqtxts1xzle7.cloudfront.net/58088747/usmintenship_1.pdf?1546244418=&amp;response-content-disposition=inline%3B+filename%3DUSM_Internship_and_Career_Portal.pdf&amp;Expires=1597722782&amp;Signature=Ugu73dvu2xkyY-vdRVzis69KnrmtLugk-O44DkVoP7HaFnnkMaxzTp6aJpJVGBDSjona~OxGtolYqzdmuDjRhFZpFp2q8zM~5uZrnUMg6TVM-0PzQ9HsHixiBw~Cb3TsC-1~72FLU1I1ktawBzjvOQbL2hGPGzesbQ9pI256EVLnKnX3uamTAa5UEIIsE3t-7HZSg1ba09FpLk5bPpzPkxrllR~nFUf0waajfEqr37KdRB9WKrPnFDGNQRr3z-oQilVLS-q-09vW4wfHsfNNnp5bPXAqR4EjKUDFisbQHh1qM4SiBg1gj35bqrWUe0TH~yIOh-lC8FVSmpM3DeLSGQ__&amp;Key-Pair-Id=APKAJLOHF5GGSLRBV4ZA</w:t>
        </w:r>
      </w:hyperlink>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2.</w:t>
      </w:r>
      <w:hyperlink r:id="rId8">
        <w:r w:rsidDel="00000000" w:rsidR="00000000" w:rsidRPr="00000000">
          <w:rPr>
            <w:color w:val="1155cc"/>
            <w:u w:val="single"/>
            <w:rtl w:val="0"/>
          </w:rPr>
          <w:t xml:space="preserve">https://www.forbes.com/sites/davidteich/2019/12/03/management-ai-recommendation-systems/#2b8a5b7c30cc</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3.</w:t>
      </w:r>
      <w:hyperlink r:id="rId9">
        <w:r w:rsidDel="00000000" w:rsidR="00000000" w:rsidRPr="00000000">
          <w:rPr>
            <w:color w:val="1155cc"/>
            <w:u w:val="single"/>
            <w:rtl w:val="0"/>
          </w:rPr>
          <w:t xml:space="preserve">https://microservices.io/patterns/microservices.html</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4.</w:t>
      </w:r>
      <w:hyperlink r:id="rId10">
        <w:r w:rsidDel="00000000" w:rsidR="00000000" w:rsidRPr="00000000">
          <w:rPr>
            <w:color w:val="1155cc"/>
            <w:u w:val="single"/>
            <w:rtl w:val="0"/>
          </w:rPr>
          <w:t xml:space="preserve">https://ieeexplore.ieee.org/document/4631542</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5.</w:t>
      </w:r>
      <w:hyperlink r:id="rId11">
        <w:r w:rsidDel="00000000" w:rsidR="00000000" w:rsidRPr="00000000">
          <w:rPr>
            <w:color w:val="1155cc"/>
            <w:u w:val="single"/>
            <w:rtl w:val="0"/>
          </w:rPr>
          <w:t xml:space="preserve">https://ieeexplore.ieee.org/abstract/document/7563123</w:t>
        </w:r>
      </w:hyperlink>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6.</w:t>
      </w:r>
      <w:hyperlink r:id="rId12">
        <w:r w:rsidDel="00000000" w:rsidR="00000000" w:rsidRPr="00000000">
          <w:rPr>
            <w:color w:val="1155cc"/>
            <w:u w:val="single"/>
            <w:rtl w:val="0"/>
          </w:rPr>
          <w:t xml:space="preserve">https://www.researchgate.net/publication/307941102_A_study_of_student_information_management_software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bstract/document/7563123" TargetMode="External"/><Relationship Id="rId10" Type="http://schemas.openxmlformats.org/officeDocument/2006/relationships/hyperlink" Target="https://ieeexplore.ieee.org/document/4631542" TargetMode="External"/><Relationship Id="rId12" Type="http://schemas.openxmlformats.org/officeDocument/2006/relationships/hyperlink" Target="https://www.researchgate.net/publication/307941102_A_study_of_student_information_management_software" TargetMode="External"/><Relationship Id="rId9" Type="http://schemas.openxmlformats.org/officeDocument/2006/relationships/hyperlink" Target="https://microservices.io/patterns/microservices.html" TargetMode="External"/><Relationship Id="rId5" Type="http://schemas.openxmlformats.org/officeDocument/2006/relationships/styles" Target="styles.xml"/><Relationship Id="rId6" Type="http://schemas.openxmlformats.org/officeDocument/2006/relationships/hyperlink" Target="https://www.forbes.com/sites/davidteich/" TargetMode="External"/><Relationship Id="rId7" Type="http://schemas.openxmlformats.org/officeDocument/2006/relationships/hyperlink" Target="https://d1wqtxts1xzle7.cloudfront.net/58088747/usmintenship_1.pdf?1546244418=&amp;response-content-disposition=inline%3B+filename%3DUSM_Internship_and_Career_Portal.pdf&amp;Expires=1597722782&amp;Signature=Ugu73dvu2xkyY-vdRVzis69KnrmtLugk-O44DkVoP7HaFnnkMaxzTp6aJpJVGBDSjona~OxGtolYqzdmuDjRhFZpFp2q8zM~5uZrnUMg6TVM-0PzQ9HsHixiBw~Cb3TsC-1~72FLU1I1ktawBzjvOQbL2hGPGzesbQ9pI256EVLnKnX3uamTAa5UEIIsE3t-7HZSg1ba09FpLk5bPpzPkxrllR~nFUf0waajfEqr37KdRB9WKrPnFDGNQRr3z-oQilVLS-q-09vW4wfHsfNNnp5bPXAqR4EjKUDFisbQHh1qM4SiBg1gj35bqrWUe0TH~yIOh-lC8FVSmpM3DeLSGQ__&amp;Key-Pair-Id=APKAJLOHF5GGSLRBV4ZA" TargetMode="External"/><Relationship Id="rId8" Type="http://schemas.openxmlformats.org/officeDocument/2006/relationships/hyperlink" Target="https://www.forbes.com/sites/davidteich/2019/12/03/management-ai-recommendation-systems/#2b8a5b7c30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