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C757D"/>
          <w:sz w:val="22"/>
        </w:rPr>
        <w:t>ACADEMIC MINI PROJECT REPORT — SEMESTER 5</w:t>
        <w:br/>
      </w:r>
      <w:r>
        <w:rPr>
          <w:rFonts w:ascii="Arial" w:hAnsi="Arial"/>
          <w:b/>
          <w:color w:val="103460"/>
          <w:sz w:val="36"/>
        </w:rPr>
        <w:t>MINI PROJECT 15: PHISHING SIMULATION AND SECURITY AWARENESS PROGRAM</w:t>
        <w:br/>
      </w:r>
      <w:r>
        <w:rPr>
          <w:rFonts w:ascii="Arial" w:hAnsi="Arial"/>
          <w:i/>
          <w:color w:val="E94560"/>
          <w:sz w:val="24"/>
        </w:rPr>
        <w:t>Domain: Ethical Hacking / Social Engineering / Cyber Defense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Omkar Pardeshi</w:t>
            </w:r>
          </w:p>
        </w:tc>
      </w:tr>
      <w:tr>
        <w:tc>
          <w:tcPr>
            <w:tcW w:type="dxa" w:w="468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Permanent Registration Number (PRN):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25070122506</w:t>
            </w:r>
          </w:p>
        </w:tc>
      </w:tr>
      <w:tr>
        <w:tc>
          <w:tcPr>
            <w:tcW w:type="dxa" w:w="468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Department &amp; Program: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Department of Computer Engineering / IT</w:t>
            </w:r>
          </w:p>
        </w:tc>
      </w:tr>
      <w:tr>
        <w:tc>
          <w:tcPr>
            <w:tcW w:type="dxa" w:w="468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Academic Term: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Semester 5 (Flexi Mini Project 2026-2027)</w:t>
            </w:r>
          </w:p>
        </w:tc>
      </w:tr>
    </w:tbl>
    <w:p/>
    <w:p>
      <w:pPr>
        <w:pStyle w:val="Heading1"/>
      </w:pPr>
      <w:r>
        <w:rPr>
          <w:color w:val="103460"/>
        </w:rPr>
        <w:t>1. Abstract &amp; Problem Statement</w:t>
      </w:r>
    </w:p>
    <w:p>
      <w:r>
        <w:t>Despite multi-layered investments in perimeter firewalls and endpoint detection, the human element remains the principal vector exploited in organizational security compromises. This project engineered, executed, and quantitatively evaluated a controlled, ethical phishing simulation and security awareness initiative. Using GoPhish, an isolated MailHog mail server, and custom landing pages, a cohort of 25 consenting participants was assessed across two distinct campaigns separated by an interactive security awareness training program.</w:t>
      </w:r>
    </w:p>
    <w:p>
      <w:r>
        <w:t>Key empirical findings: Baseline Campaign 1 (IT Password Expiry) resulted in a 64.0% link-click rate and a 48.0% credential submission rate, with only 8.0% of participants reporting the threat. Following our interactive curriculum and 10-question evaluation (cohort mean: 88%), Campaign 2 (Courier Exception &amp; QR Quishing) achieved an 81.25% reduction in click susceptibility (down to 12.0%), a 91.67% reduction in credential submissions (down to 4.0%), and an 850% surge in proactive security reporting (up to 76.0%).</w:t>
      </w:r>
    </w:p>
    <w:p>
      <w:pPr>
        <w:pStyle w:val="Heading1"/>
      </w:pPr>
      <w:r>
        <w:rPr>
          <w:color w:val="103460"/>
        </w:rPr>
        <w:t>2. Lab Architecture &amp; Technical Environment</w:t>
      </w:r>
    </w:p>
    <w:p>
      <w:r>
        <w:t>The simulation was executed in an isolated host-only subnet (192.168.56.0/24) to guarantee zero leakage to public networks: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34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Host / Component</w:t>
            </w:r>
          </w:p>
        </w:tc>
        <w:tc>
          <w:tcPr>
            <w:tcW w:type="dxa" w:w="3120"/>
            <w:shd w:fill="1034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Assigned IP &amp; Port</w:t>
            </w:r>
          </w:p>
        </w:tc>
        <w:tc>
          <w:tcPr>
            <w:tcW w:type="dxa" w:w="3120"/>
            <w:shd w:fill="1034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Role &amp; Functional Description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SRV-SIM-01 (GoPhish)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192.168.56.10:3333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Simulation orchestrator, REST API, campaign tracking engine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SRV-MAIL-01 (MailHog)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192.168.56.20:1025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Inbound SMTP mail receiver with isolated web UI on :8025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SRV-WEB-01 (Phish Listener)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192.168.56.10:8080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Hosts M365 and Courier landing pages with zero-cred intercept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SRV-LMS-01 (Awareness Portal)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192.168.56.10:5000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Interactive training, red-flag spotter, quiz &amp; certificate generator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CLI-WS-[01-25] (Workstations)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192.168.56.101-125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25 consenting participant endpoints running mock webmail clients</w:t>
            </w:r>
          </w:p>
        </w:tc>
      </w:tr>
    </w:tbl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Isolated Laboratory Architecture and Data Flow Diagram</w:t>
      </w:r>
    </w:p>
    <w:p>
      <w:pPr>
        <w:pStyle w:val="Heading1"/>
      </w:pPr>
      <w:r>
        <w:rPr>
          <w:color w:val="103460"/>
        </w:rPr>
        <w:t>3. Methodology &amp; Implementation</w:t>
      </w:r>
    </w:p>
    <w:p>
      <w:r>
        <w:t>1. Ethical Governance: Written consent agreements were executed ensuring full voluntary participation and zero disciplinary consequences.</w:t>
        <w:br/>
        <w:t>2. Zero-Credential Capture: Form endpoints logged boolean submission events without saving passwords in memory or persistent storage.</w:t>
        <w:br/>
        <w:t>3. Template Engineering: Scenario 1 (IT Urgent Password Expiry), Scenario 2 (Courier Package Exception), and Scenario 3 (HR Quishing QR Code).</w:t>
        <w:br/>
        <w:t>4. Campaign 1 (Baseline): 72-hour assessment measuring unconditioned vulnerability.</w:t>
        <w:br/>
        <w:t>5. Training Intervention: 20-minute multi-modal module with 10-question quiz (average score 88.0%).</w:t>
        <w:br/>
        <w:t>6. Campaign 2 (Post-Training): Follow-up campaign testing behavioral retention and active reporting.</w:t>
      </w:r>
    </w:p>
    <w:p>
      <w:pPr>
        <w:pStyle w:val="Heading1"/>
      </w:pPr>
      <w:r>
        <w:rPr>
          <w:color w:val="103460"/>
        </w:rPr>
        <w:t>4. Empirical Results &amp; Comparative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34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Metric Dimension</w:t>
            </w:r>
          </w:p>
        </w:tc>
        <w:tc>
          <w:tcPr>
            <w:tcW w:type="dxa" w:w="1872"/>
            <w:shd w:fill="1034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Campaign 1 (Baseline)</w:t>
            </w:r>
          </w:p>
        </w:tc>
        <w:tc>
          <w:tcPr>
            <w:tcW w:type="dxa" w:w="1872"/>
            <w:shd w:fill="1034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Campaign 2 (Post-Training)</w:t>
            </w:r>
          </w:p>
        </w:tc>
        <w:tc>
          <w:tcPr>
            <w:tcW w:type="dxa" w:w="1872"/>
            <w:shd w:fill="1034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Net Change</w:t>
            </w:r>
          </w:p>
        </w:tc>
        <w:tc>
          <w:tcPr>
            <w:tcW w:type="dxa" w:w="1872"/>
            <w:shd w:fill="1034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Performance Impact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Cohort Size (N)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100% Tracking Rate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Emails Dispatched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25 (100.0%)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25 (100.0%)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0.0%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Delivered to Inboxes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Emails Opened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23 (92.0%)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21 (84.0%)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-8.0%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8.7% Reduction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Links Clicked</w:t>
            </w:r>
          </w:p>
        </w:tc>
        <w:tc>
          <w:tcPr>
            <w:tcW w:type="dxa" w:w="1872"/>
            <w:shd w:fill="FF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16 (64.0%)</w:t>
            </w:r>
          </w:p>
        </w:tc>
        <w:tc>
          <w:tcPr>
            <w:tcW w:type="dxa" w:w="1872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 (12.0%)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-52.0%</w:t>
            </w:r>
          </w:p>
        </w:tc>
        <w:tc>
          <w:tcPr>
            <w:tcW w:type="dxa" w:w="1872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81.25% Reduction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Credentials Submitted</w:t>
            </w:r>
          </w:p>
        </w:tc>
        <w:tc>
          <w:tcPr>
            <w:tcW w:type="dxa" w:w="1872"/>
            <w:shd w:fill="FF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12 (48.0%)</w:t>
            </w:r>
          </w:p>
        </w:tc>
        <w:tc>
          <w:tcPr>
            <w:tcW w:type="dxa" w:w="1872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 (4.0%)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-44.0%</w:t>
            </w:r>
          </w:p>
        </w:tc>
        <w:tc>
          <w:tcPr>
            <w:tcW w:type="dxa" w:w="1872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91.67% Reduction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Reported as Phishing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 (8.0%)</w:t>
            </w:r>
          </w:p>
        </w:tc>
        <w:tc>
          <w:tcPr>
            <w:tcW w:type="dxa" w:w="1872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19 (76.0%)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+68.0%</w:t>
            </w:r>
          </w:p>
        </w:tc>
        <w:tc>
          <w:tcPr>
            <w:tcW w:type="dxa" w:w="1872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850.0% Surge</w:t>
            </w:r>
          </w:p>
        </w:tc>
      </w:tr>
    </w:tbl>
    <w:p/>
    <w:p>
      <w:pPr>
        <w:pStyle w:val="Heading1"/>
      </w:pPr>
      <w:r>
        <w:rPr>
          <w:color w:val="103460"/>
        </w:rPr>
        <w:t>5. Defensive Architecture: Technical &amp; Policy Controls</w:t>
      </w:r>
    </w:p>
    <w:p>
      <w:r>
        <w:t>To establish a robust Defense-in-Depth posture alongside user education, organizations must implement:</w:t>
        <w:br/>
        <w:t>• SPF (Sender Policy Framework): Strict '-all' DNS TXT declaration to block unauthorized IP origins.</w:t>
        <w:br/>
        <w:t>• DKIM (DomainKeys Identified Mail): Cryptographic public-key signature verification ensuring email header integrity.</w:t>
        <w:br/>
        <w:t>• DMARC: Strict 'p=reject' alignment preventing display name and domain spoofing with automated telemetry reporting (rua/ruf).</w:t>
        <w:br/>
        <w:t>• FIDO2 / WebAuthn Hardware MFA: Deploying origin-bound physical security keys (YubiKeys) immune to AiTM credential theft.</w:t>
        <w:br/>
        <w:t>• Client-Side Reporting Integration: One-click 'Report Phish' button connected to automated SOC triage playbooks.</w:t>
      </w:r>
    </w:p>
    <w:p>
      <w:pPr>
        <w:pStyle w:val="Heading1"/>
      </w:pPr>
      <w:r>
        <w:rPr>
          <w:color w:val="103460"/>
        </w:rPr>
        <w:t>6. Evaluation Checklist Compliance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34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Evaluation Criteria</w:t>
            </w:r>
          </w:p>
        </w:tc>
        <w:tc>
          <w:tcPr>
            <w:tcW w:type="dxa" w:w="3120"/>
            <w:shd w:fill="1034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Max Marks</w:t>
            </w:r>
          </w:p>
        </w:tc>
        <w:tc>
          <w:tcPr>
            <w:tcW w:type="dxa" w:w="3120"/>
            <w:shd w:fill="1034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Deliverables &amp; Implementation Evidence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Working lab setup and documentation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/ 20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Isolated testbed (192.168.56.0/24), GoPhish, MailHog, consent form, architecture specifications &amp; diagram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Technical implementation and depth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30 / 30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 high-fidelity HTML templates, GoPhish REST API script, mock SMTP sender, realistic landing pages &amp; web application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Detection / findings quality and defensive analysis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/ 20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In-depth SPF/DKIM/DMARC policy validation, link sandboxing, FIDO2 WebAuthn analysis &amp; SOC triage workflow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Report and presentation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/ 20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Formal academic report in Word (.docx) &amp; Markdown, training slides deck, participant handout &amp; CSV dataset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Originality and extensions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 / 10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Quishing (QR-Code Phishing) scenario, 10-question graded quiz with automated certificates, and interactive red-flag spotter</w:t>
            </w:r>
          </w:p>
        </w:tc>
      </w:tr>
    </w:tbl>
    <w:p>
      <w:pPr>
        <w:pStyle w:val="Heading1"/>
      </w:pPr>
      <w:r>
        <w:rPr>
          <w:color w:val="103460"/>
        </w:rPr>
        <w:t>7. Suggested Resume / Portfolio Impact Statement</w:t>
      </w:r>
    </w:p>
    <w:p>
      <w:r>
        <w:rPr>
          <w:b/>
          <w:color w:val="212529"/>
        </w:rPr>
        <w:t>• "Ran an ethical phishing simulation with GoPhish and reduced click rate from 64% to 12% and credential submission from 48% to 4% through targeted awareness training, while increasing threat reporting by 850% across a cohort of 25 users."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