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F78" w:rsidRPr="00FD3F78" w:rsidRDefault="00FD3F78" w:rsidP="00FD3F78">
      <w:pPr>
        <w:spacing w:before="100" w:beforeAutospacing="1" w:after="100" w:afterAutospacing="1" w:line="240" w:lineRule="auto"/>
        <w:jc w:val="center"/>
        <w:rPr>
          <w:rFonts w:eastAsia="Times New Roman" w:cstheme="minorHAnsi"/>
          <w:sz w:val="40"/>
          <w:szCs w:val="40"/>
        </w:rPr>
      </w:pPr>
      <w:bookmarkStart w:id="0" w:name="_GoBack"/>
      <w:r w:rsidRPr="00FD3F78">
        <w:rPr>
          <w:rFonts w:eastAsia="Times New Roman" w:cstheme="minorHAnsi"/>
          <w:b/>
          <w:bCs/>
          <w:sz w:val="40"/>
          <w:szCs w:val="40"/>
        </w:rPr>
        <w:t>Interpretation of Campaign Results</w:t>
      </w:r>
    </w:p>
    <w:bookmarkEnd w:id="0"/>
    <w:p w:rsidR="00FD3F78" w:rsidRPr="00FD3F78" w:rsidRDefault="00FD3F78" w:rsidP="00FD3F78">
      <w:p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highlight w:val="yellow"/>
        </w:rPr>
        <w:t>Introduction</w:t>
      </w:r>
    </w:p>
    <w:p w:rsidR="00FD3F78" w:rsidRPr="00FD3F78" w:rsidRDefault="00FD3F78" w:rsidP="00FD3F78">
      <w:pPr>
        <w:spacing w:before="100" w:beforeAutospacing="1" w:after="100" w:afterAutospacing="1" w:line="240" w:lineRule="auto"/>
        <w:ind w:firstLine="720"/>
        <w:rPr>
          <w:rFonts w:eastAsia="Times New Roman" w:cstheme="minorHAnsi"/>
          <w:sz w:val="24"/>
          <w:szCs w:val="24"/>
        </w:rPr>
      </w:pPr>
      <w:r w:rsidRPr="00FD3F78">
        <w:rPr>
          <w:rFonts w:eastAsia="Times New Roman" w:cstheme="minorHAnsi"/>
          <w:sz w:val="24"/>
          <w:szCs w:val="24"/>
        </w:rPr>
        <w:t>This report analyzes the performance of five advertising campaigns run across various platforms. The key metrics evaluated include impressions, clicks, conversions, ad spend, revenue, click-through rate (CTR), cost per click (CPC), return on ad spend (ROAS), engagement scores, and targeted audience segments.</w:t>
      </w:r>
    </w:p>
    <w:p w:rsidR="00FD3F78" w:rsidRPr="00FD3F78" w:rsidRDefault="00FD3F78" w:rsidP="00FD3F78">
      <w:p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highlight w:val="yellow"/>
        </w:rPr>
        <w:t>Campaign Performance Overview</w:t>
      </w:r>
    </w:p>
    <w:p w:rsidR="00FD3F78" w:rsidRPr="00FD3F78" w:rsidRDefault="00FD3F78" w:rsidP="00FD3F78">
      <w:pPr>
        <w:numPr>
          <w:ilvl w:val="0"/>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rPr>
        <w:t>Overall Performance Metrics</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The total impressions across all campaigns were 300,000, leading to 16,000 clicks and 975 conversions.</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The total ad spends amounted to $8,200, resulting in a total revenue of $29,500.</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The average CTR was 5.24%, while the average CPC was $0.55, indicating effective audience engagement relative to spend.</w:t>
      </w:r>
    </w:p>
    <w:p w:rsidR="00FD3F78" w:rsidRPr="00FD3F78" w:rsidRDefault="00FD3F78" w:rsidP="00FD3F78">
      <w:pPr>
        <w:numPr>
          <w:ilvl w:val="0"/>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rPr>
        <w:t>Individual Campaign Analysis</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rPr>
        <w:t>Summer Sale (Google Ads)</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Impressions: 50,000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Clicks: 3,000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Conversions: 150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Revenue: $6,000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ROAS: 4.00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The campaign achieved a decent CTR of 6%, showcasing effective targeting among young adults.</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rPr>
        <w:t>Winter Clearance (Facebook)</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Impressions: 70,000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Clicks: 4,000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Conversions: 250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Revenue: $8,000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ROAS: 4.00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This campaign targeted middle-aged adults and maintained strong engagement, reflected in a 5.71% CTR.</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rPr>
        <w:t>Spring Promotion (Instagram)</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Impressions: 60,000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Clicks: 2,500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Conversions: 100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Revenue: $3,000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ROAS: 2.50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The lower performance metrics suggest the need for refined targeting or creative adjustments.</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rPr>
        <w:t>Black Friday Deals (Twitter)</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lastRenderedPageBreak/>
        <w:t>Impressions: 80,000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Clicks: 5,000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Conversions: 400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Revenue: $10,000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ROAS: 4.00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This campaign was the standout performer, achieving the highest revenue and strong engagement across all age groups.</w:t>
      </w:r>
    </w:p>
    <w:p w:rsidR="00FD3F78" w:rsidRPr="00FD3F78" w:rsidRDefault="00FD3F78" w:rsidP="00FD3F78">
      <w:pPr>
        <w:numPr>
          <w:ilvl w:val="1"/>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rPr>
        <w:t>New Year Campaign (LinkedIn)</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Impressions: 40,000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Clicks: 1,500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Conversions: 75</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Revenue: $2,500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ROAS: 2.50</w:t>
      </w:r>
    </w:p>
    <w:p w:rsidR="00FD3F78" w:rsidRPr="00FD3F78" w:rsidRDefault="00FD3F78" w:rsidP="00FD3F78">
      <w:pPr>
        <w:numPr>
          <w:ilvl w:val="2"/>
          <w:numId w:val="1"/>
        </w:num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Despite targeting professionals, this campaign delivered the lowest ROAS, indicating a need for strategy reassessment.</w:t>
      </w:r>
    </w:p>
    <w:p w:rsidR="00FD3F78" w:rsidRPr="00FD3F78" w:rsidRDefault="00FD3F78" w:rsidP="00FD3F78">
      <w:pPr>
        <w:spacing w:before="100" w:beforeAutospacing="1" w:after="100" w:afterAutospacing="1" w:line="240" w:lineRule="auto"/>
        <w:rPr>
          <w:rFonts w:eastAsia="Times New Roman" w:cstheme="minorHAnsi"/>
          <w:sz w:val="24"/>
          <w:szCs w:val="24"/>
        </w:rPr>
      </w:pPr>
      <w:r w:rsidRPr="00FD3F78">
        <w:rPr>
          <w:rFonts w:eastAsia="Times New Roman" w:cstheme="minorHAnsi"/>
          <w:b/>
          <w:bCs/>
          <w:sz w:val="24"/>
          <w:szCs w:val="24"/>
          <w:highlight w:val="yellow"/>
        </w:rPr>
        <w:t>Conclusion</w:t>
      </w:r>
    </w:p>
    <w:p w:rsidR="00FD3F78" w:rsidRPr="00FD3F78" w:rsidRDefault="00FD3F78" w:rsidP="00FD3F78">
      <w:pPr>
        <w:spacing w:before="100" w:beforeAutospacing="1" w:after="100" w:afterAutospacing="1" w:line="240" w:lineRule="auto"/>
        <w:rPr>
          <w:rFonts w:eastAsia="Times New Roman" w:cstheme="minorHAnsi"/>
          <w:sz w:val="24"/>
          <w:szCs w:val="24"/>
        </w:rPr>
      </w:pPr>
      <w:r w:rsidRPr="00FD3F78">
        <w:rPr>
          <w:rFonts w:eastAsia="Times New Roman" w:cstheme="minorHAnsi"/>
          <w:sz w:val="24"/>
          <w:szCs w:val="24"/>
        </w:rPr>
        <w:t>Overall, the campaigns yielded a good average ROAS, indicating effective spending, especially with the Black Friday Deals. Future campaigns may benefit from analyzing the strategies used in the most successful campaigns and addressing the areas of underperformance, particularly in the New Year and Spring campaigns. Continued monitoring and adaptation will be essential for maintaining and enhancing overall campaign effectiveness.</w:t>
      </w:r>
    </w:p>
    <w:p w:rsidR="00B97BE9" w:rsidRPr="00FD3F78" w:rsidRDefault="00B97BE9">
      <w:pPr>
        <w:rPr>
          <w:rFonts w:cstheme="minorHAnsi"/>
        </w:rPr>
      </w:pPr>
    </w:p>
    <w:sectPr w:rsidR="00B97BE9" w:rsidRPr="00FD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25E18"/>
    <w:multiLevelType w:val="multilevel"/>
    <w:tmpl w:val="2E223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78"/>
    <w:rsid w:val="00B97BE9"/>
    <w:rsid w:val="00FD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90FF"/>
  <w15:chartTrackingRefBased/>
  <w15:docId w15:val="{08A98E3B-5222-4FDB-8C23-66D8A1FF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F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1</cp:revision>
  <dcterms:created xsi:type="dcterms:W3CDTF">2024-10-26T13:36:00Z</dcterms:created>
  <dcterms:modified xsi:type="dcterms:W3CDTF">2024-10-26T13:37:00Z</dcterms:modified>
</cp:coreProperties>
</file>