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28"/>
          <w:szCs w:val="28"/>
        </w:rPr>
        <w:t xml:space="preserve">MEMO — Replacing the routing bot</w:t>
      </w:r>
    </w:p>
    <w:p>
      <w:pPr>
        <w:spacing w:after="70" w:line="245"/>
      </w:pPr>
      <w:r>
        <w:rPr>
          <w:rFonts w:ascii="Calibri" w:cs="Calibri" w:eastAsia="Calibri" w:hAnsi="Calibri"/>
          <w:b/>
          <w:bCs/>
          <w:sz w:val="19"/>
          <w:szCs w:val="19"/>
        </w:rPr>
        <w:t xml:space="preserve">To: </w:t>
      </w:r>
      <w:r>
        <w:rPr>
          <w:rFonts w:ascii="Calibri" w:cs="Calibri" w:eastAsia="Calibri" w:hAnsi="Calibri"/>
          <w:sz w:val="19"/>
          <w:szCs w:val="19"/>
        </w:rPr>
        <w:t xml:space="preserve">Ritu Deshpande     </w:t>
      </w:r>
      <w:r>
        <w:rPr>
          <w:rFonts w:ascii="Calibri" w:cs="Calibri" w:eastAsia="Calibri" w:hAnsi="Calibri"/>
          <w:b/>
          <w:bCs/>
          <w:sz w:val="19"/>
          <w:szCs w:val="19"/>
        </w:rPr>
        <w:t xml:space="preserve">Cc: </w:t>
      </w:r>
      <w:r>
        <w:rPr>
          <w:rFonts w:ascii="Calibri" w:cs="Calibri" w:eastAsia="Calibri" w:hAnsi="Calibri"/>
          <w:sz w:val="19"/>
          <w:szCs w:val="19"/>
        </w:rPr>
        <w:t xml:space="preserve">Farhan Sheikh, Meenal Joshi, Tanmay Kulkarni     </w:t>
      </w:r>
      <w:r>
        <w:rPr>
          <w:rFonts w:ascii="Calibri" w:cs="Calibri" w:eastAsia="Calibri" w:hAnsi="Calibri"/>
          <w:b/>
          <w:bCs/>
          <w:sz w:val="19"/>
          <w:szCs w:val="19"/>
        </w:rPr>
        <w:t xml:space="preserve">From: </w:t>
      </w:r>
      <w:r>
        <w:rPr>
          <w:rFonts w:ascii="Calibri" w:cs="Calibri" w:eastAsia="Calibri" w:hAnsi="Calibri"/>
          <w:sz w:val="19"/>
          <w:szCs w:val="19"/>
        </w:rPr>
        <w:t xml:space="preserve">Omkar Daphale     </w:t>
      </w:r>
      <w:r>
        <w:rPr>
          <w:rFonts w:ascii="Calibri" w:cs="Calibri" w:eastAsia="Calibri" w:hAnsi="Calibri"/>
          <w:b/>
          <w:bCs/>
          <w:sz w:val="19"/>
          <w:szCs w:val="19"/>
        </w:rPr>
        <w:t xml:space="preserve">Date: </w:t>
      </w:r>
      <w:r>
        <w:rPr>
          <w:rFonts w:ascii="Calibri" w:cs="Calibri" w:eastAsia="Calibri" w:hAnsi="Calibri"/>
          <w:sz w:val="19"/>
          <w:szCs w:val="19"/>
        </w:rPr>
        <w:t xml:space="preserve">8 October 2026</w:t>
      </w:r>
    </w:p>
    <w:p>
      <w:pPr>
        <w:pBdr>
          <w:bottom w:val="single" w:color="1F3A5F" w:sz="6" w:space="1"/>
        </w:pBdr>
        <w:spacing w:after="40" w:before="110"/>
      </w:pPr>
      <w:r>
        <w:rPr>
          <w:rFonts w:ascii="Calibri" w:cs="Calibri" w:eastAsia="Calibri" w:hAnsi="Calibri"/>
          <w:b/>
          <w:bCs/>
          <w:color w:val="1F3A5F"/>
          <w:sz w:val="21"/>
          <w:szCs w:val="21"/>
        </w:rPr>
        <w:t xml:space="preserve">The short answer</w:t>
      </w:r>
    </w:p>
    <w:p>
      <w:pPr>
        <w:pStyle w:val="ListParagraph"/>
        <w:numPr>
          <w:ilvl w:val="0"/>
          <w:numId w:val="2"/>
        </w:numPr>
        <w:spacing w:after="50" w:line="245"/>
      </w:pPr>
      <w:r>
        <w:rPr>
          <w:rFonts w:ascii="Calibri" w:cs="Calibri" w:eastAsia="Calibri" w:hAnsi="Calibri"/>
          <w:b/>
          <w:bCs/>
          <w:sz w:val="19"/>
          <w:szCs w:val="19"/>
        </w:rPr>
        <w:t xml:space="preserve">Yes, replace the bot, but do not use the 90% test. </w:t>
      </w:r>
      <w:r>
        <w:rPr>
          <w:rFonts w:ascii="Calibri" w:cs="Calibri" w:eastAsia="Calibri" w:hAnsi="Calibri"/>
          <w:sz w:val="19"/>
          <w:szCs w:val="19"/>
        </w:rPr>
        <w:t xml:space="preserve">The labels record where the bot put each request, not where it should have gone. A copy of the bot matches the bot 94.8% of the time, which passes your bar, yet sends only 75.7% of requests to the team that actually closed them. The bot itself manages 77.2%: </w:t>
      </w:r>
      <w:r>
        <w:rPr>
          <w:rFonts w:ascii="Calibri" w:cs="Calibri" w:eastAsia="Calibri" w:hAnsi="Calibri"/>
          <w:b/>
          <w:bCs/>
          <w:sz w:val="19"/>
          <w:szCs w:val="19"/>
        </w:rPr>
        <w:t xml:space="preserve">1 request in 4 (24.9%) needed at least one transfer.</w:t>
      </w:r>
    </w:p>
    <w:p>
      <w:pPr>
        <w:pStyle w:val="ListParagraph"/>
        <w:numPr>
          <w:ilvl w:val="0"/>
          <w:numId w:val="2"/>
        </w:numPr>
        <w:spacing w:after="50" w:line="245"/>
      </w:pPr>
      <w:r>
        <w:rPr>
          <w:rFonts w:ascii="Calibri" w:cs="Calibri" w:eastAsia="Calibri" w:hAnsi="Calibri"/>
          <w:b/>
          <w:bCs/>
          <w:sz w:val="19"/>
          <w:szCs w:val="19"/>
        </w:rPr>
        <w:t xml:space="preserve">What I built instead: </w:t>
      </w:r>
      <w:r>
        <w:rPr>
          <w:rFonts w:ascii="Calibri" w:cs="Calibri" w:eastAsia="Calibri" w:hAnsi="Calibri"/>
          <w:sz w:val="19"/>
          <w:szCs w:val="19"/>
        </w:rPr>
        <w:t xml:space="preserve">a model trained on the team that actually closed each request. On the latest three months (Apr–Jun 2026), which it never saw during training, it picks the right team </w:t>
      </w:r>
      <w:r>
        <w:rPr>
          <w:rFonts w:ascii="Calibri" w:cs="Calibri" w:eastAsia="Calibri" w:hAnsi="Calibri"/>
          <w:b/>
          <w:bCs/>
          <w:sz w:val="19"/>
          <w:szCs w:val="19"/>
        </w:rPr>
        <w:t xml:space="preserve">84.0% of the time against the bot's 76.7%</w:t>
      </w:r>
      <w:r>
        <w:rPr>
          <w:rFonts w:ascii="Calibri" w:cs="Calibri" w:eastAsia="Calibri" w:hAnsi="Calibri"/>
          <w:sz w:val="19"/>
          <w:szCs w:val="19"/>
        </w:rPr>
        <w:t xml:space="preserve">. On the 85% of requests where it is confident, it is </w:t>
      </w:r>
      <w:r>
        <w:rPr>
          <w:rFonts w:ascii="Calibri" w:cs="Calibri" w:eastAsia="Calibri" w:hAnsi="Calibri"/>
          <w:b/>
          <w:bCs/>
          <w:sz w:val="19"/>
          <w:szCs w:val="19"/>
        </w:rPr>
        <w:t xml:space="preserve">94.3% right (the bot is 85.7% right on the same requests)</w:t>
      </w:r>
      <w:r>
        <w:rPr>
          <w:rFonts w:ascii="Calibri" w:cs="Calibri" w:eastAsia="Calibri" w:hAnsi="Calibri"/>
          <w:sz w:val="19"/>
          <w:szCs w:val="19"/>
        </w:rPr>
        <w:t xml:space="preserve">.</w:t>
      </w:r>
    </w:p>
    <w:p>
      <w:pPr>
        <w:pStyle w:val="ListParagraph"/>
        <w:numPr>
          <w:ilvl w:val="0"/>
          <w:numId w:val="2"/>
        </w:numPr>
        <w:spacing w:after="50" w:line="245"/>
      </w:pPr>
      <w:r>
        <w:rPr>
          <w:rFonts w:ascii="Calibri" w:cs="Calibri" w:eastAsia="Calibri" w:hAnsi="Calibri"/>
          <w:b/>
          <w:bCs/>
          <w:sz w:val="19"/>
          <w:szCs w:val="19"/>
        </w:rPr>
        <w:t xml:space="preserve">The other 15% cannot be routed from the words. </w:t>
      </w:r>
      <w:r>
        <w:rPr>
          <w:rFonts w:ascii="Calibri" w:cs="Calibri" w:eastAsia="Calibri" w:hAnsi="Calibri"/>
          <w:sz w:val="19"/>
          <w:szCs w:val="19"/>
        </w:rPr>
        <w:t xml:space="preserve">Messages like “someone contact me about my purifier” end up in five to seven different teams in the history, and neither the model nor the bot beats 25% on them (guessing among seven teams gives 14%). A better model will not fix this. One question to the customer will: is this a fault, a delivery problem, a payment problem, or a how-to?</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300"/>
        <w:gridCol w:w="2300"/>
      </w:tblGrid>
      <w:tr>
        <w:tc>
          <w:tcPr>
            <w:tcW w:type="dxa" w:w="3300"/>
            <w:shd w:fill="1F3A5F" w:color="auto" w:val="clear"/>
            <w:tcMar>
              <w:top w:type="dxa" w:w="25"/>
              <w:left w:type="dxa" w:w="70"/>
              <w:bottom w:type="dxa" w:w="25"/>
              <w:right w:type="dxa" w:w="70"/>
            </w:tcMar>
          </w:tcPr>
          <w:p>
            <w:pPr>
              <w:jc w:val="left"/>
            </w:pPr>
            <w:r>
              <w:rPr>
                <w:rFonts w:ascii="Calibri" w:cs="Calibri" w:eastAsia="Calibri" w:hAnsi="Calibri"/>
                <w:b/>
                <w:bCs/>
                <w:color w:val="FFFFFF"/>
                <w:sz w:val="17"/>
                <w:szCs w:val="17"/>
              </w:rPr>
              <w:t xml:space="preserve"/>
            </w:r>
          </w:p>
        </w:tc>
        <w:tc>
          <w:tcPr>
            <w:tcW w:type="dxa" w:w="2200"/>
            <w:shd w:fill="1F3A5F" w:color="auto" w:val="clear"/>
            <w:tcMar>
              <w:top w:type="dxa" w:w="25"/>
              <w:left w:type="dxa" w:w="70"/>
              <w:bottom w:type="dxa" w:w="25"/>
              <w:right w:type="dxa" w:w="70"/>
            </w:tcMar>
          </w:tcPr>
          <w:p>
            <w:pPr>
              <w:jc w:val="right"/>
            </w:pPr>
            <w:r>
              <w:rPr>
                <w:rFonts w:ascii="Calibri" w:cs="Calibri" w:eastAsia="Calibri" w:hAnsi="Calibri"/>
                <w:b/>
                <w:bCs/>
                <w:color w:val="FFFFFF"/>
                <w:sz w:val="17"/>
                <w:szCs w:val="17"/>
              </w:rPr>
              <w:t xml:space="preserve">Today (bot)</w:t>
            </w:r>
          </w:p>
        </w:tc>
        <w:tc>
          <w:tcPr>
            <w:tcW w:type="dxa" w:w="2300"/>
            <w:shd w:fill="1F3A5F" w:color="auto" w:val="clear"/>
            <w:tcMar>
              <w:top w:type="dxa" w:w="25"/>
              <w:left w:type="dxa" w:w="70"/>
              <w:bottom w:type="dxa" w:w="25"/>
              <w:right w:type="dxa" w:w="70"/>
            </w:tcMar>
          </w:tcPr>
          <w:p>
            <w:pPr>
              <w:jc w:val="right"/>
            </w:pPr>
            <w:r>
              <w:rPr>
                <w:rFonts w:ascii="Calibri" w:cs="Calibri" w:eastAsia="Calibri" w:hAnsi="Calibri"/>
                <w:b/>
                <w:bCs/>
                <w:color w:val="FFFFFF"/>
                <w:sz w:val="17"/>
                <w:szCs w:val="17"/>
              </w:rPr>
              <w:t xml:space="preserve">Replacement now</w:t>
            </w:r>
          </w:p>
        </w:tc>
        <w:tc>
          <w:tcPr>
            <w:tcW w:type="dxa" w:w="2300"/>
            <w:shd w:fill="1F3A5F" w:color="auto" w:val="clear"/>
            <w:tcMar>
              <w:top w:type="dxa" w:w="25"/>
              <w:left w:type="dxa" w:w="70"/>
              <w:bottom w:type="dxa" w:w="25"/>
              <w:right w:type="dxa" w:w="70"/>
            </w:tcMar>
          </w:tcPr>
          <w:p>
            <w:pPr>
              <w:jc w:val="right"/>
            </w:pPr>
            <w:r>
              <w:rPr>
                <w:rFonts w:ascii="Calibri" w:cs="Calibri" w:eastAsia="Calibri" w:hAnsi="Calibri"/>
                <w:b/>
                <w:bCs/>
                <w:color w:val="FFFFFF"/>
                <w:sz w:val="17"/>
                <w:szCs w:val="17"/>
              </w:rPr>
              <w:t xml:space="preserve">With triage question</w:t>
            </w:r>
          </w:p>
        </w:tc>
      </w:tr>
      <w:tr>
        <w:tc>
          <w:tcPr>
            <w:tcW w:type="dxa" w:w="3300"/>
            <w:tcMar>
              <w:top w:type="dxa" w:w="25"/>
              <w:left w:type="dxa" w:w="70"/>
              <w:bottom w:type="dxa" w:w="25"/>
              <w:right w:type="dxa" w:w="70"/>
            </w:tcMar>
          </w:tcPr>
          <w:p>
            <w:pPr>
              <w:jc w:val="left"/>
            </w:pPr>
            <w:r>
              <w:rPr>
                <w:rFonts w:ascii="Calibri" w:cs="Calibri" w:eastAsia="Calibri" w:hAnsi="Calibri"/>
                <w:b w:val="false"/>
                <w:bCs w:val="false"/>
                <w:color w:val="000000"/>
                <w:sz w:val="17"/>
                <w:szCs w:val="17"/>
              </w:rPr>
              <w:t xml:space="preserve">Requests needing a transfer</w:t>
            </w:r>
          </w:p>
        </w:tc>
        <w:tc>
          <w:tcPr>
            <w:tcW w:type="dxa" w:w="2200"/>
            <w:tcMar>
              <w:top w:type="dxa" w:w="25"/>
              <w:left w:type="dxa" w:w="70"/>
              <w:bottom w:type="dxa" w:w="25"/>
              <w:right w:type="dxa" w:w="70"/>
            </w:tcMar>
          </w:tcPr>
          <w:p>
            <w:pPr>
              <w:jc w:val="right"/>
            </w:pPr>
            <w:r>
              <w:rPr>
                <w:rFonts w:ascii="Calibri" w:cs="Calibri" w:eastAsia="Calibri" w:hAnsi="Calibri"/>
                <w:b w:val="false"/>
                <w:bCs w:val="false"/>
                <w:color w:val="000000"/>
                <w:sz w:val="17"/>
                <w:szCs w:val="17"/>
              </w:rPr>
              <w:t xml:space="preserve">25.0%</w:t>
            </w:r>
          </w:p>
        </w:tc>
        <w:tc>
          <w:tcPr>
            <w:tcW w:type="dxa" w:w="2300"/>
            <w:tcMar>
              <w:top w:type="dxa" w:w="25"/>
              <w:left w:type="dxa" w:w="70"/>
              <w:bottom w:type="dxa" w:w="25"/>
              <w:right w:type="dxa" w:w="70"/>
            </w:tcMar>
          </w:tcPr>
          <w:p>
            <w:pPr>
              <w:jc w:val="right"/>
            </w:pPr>
            <w:r>
              <w:rPr>
                <w:rFonts w:ascii="Calibri" w:cs="Calibri" w:eastAsia="Calibri" w:hAnsi="Calibri"/>
                <w:b w:val="false"/>
                <w:bCs w:val="false"/>
                <w:color w:val="000000"/>
                <w:sz w:val="17"/>
                <w:szCs w:val="17"/>
              </w:rPr>
              <w:t xml:space="preserve">19.8%</w:t>
            </w:r>
          </w:p>
        </w:tc>
        <w:tc>
          <w:tcPr>
            <w:tcW w:type="dxa" w:w="2300"/>
            <w:tcMar>
              <w:top w:type="dxa" w:w="25"/>
              <w:left w:type="dxa" w:w="70"/>
              <w:bottom w:type="dxa" w:w="25"/>
              <w:right w:type="dxa" w:w="70"/>
            </w:tcMar>
          </w:tcPr>
          <w:p>
            <w:pPr>
              <w:jc w:val="right"/>
            </w:pPr>
            <w:r>
              <w:rPr>
                <w:rFonts w:ascii="Calibri" w:cs="Calibri" w:eastAsia="Calibri" w:hAnsi="Calibri"/>
                <w:b w:val="false"/>
                <w:bCs w:val="false"/>
                <w:color w:val="000000"/>
                <w:sz w:val="17"/>
                <w:szCs w:val="17"/>
              </w:rPr>
              <w:t xml:space="preserve">4.9%</w:t>
            </w:r>
          </w:p>
        </w:tc>
      </w:tr>
      <w:tr>
        <w:tc>
          <w:tcPr>
            <w:tcW w:type="dxa" w:w="3300"/>
            <w:tcMar>
              <w:top w:type="dxa" w:w="25"/>
              <w:left w:type="dxa" w:w="70"/>
              <w:bottom w:type="dxa" w:w="25"/>
              <w:right w:type="dxa" w:w="70"/>
            </w:tcMar>
          </w:tcPr>
          <w:p>
            <w:pPr>
              <w:jc w:val="left"/>
            </w:pPr>
            <w:r>
              <w:rPr>
                <w:rFonts w:ascii="Calibri" w:cs="Calibri" w:eastAsia="Calibri" w:hAnsi="Calibri"/>
                <w:b/>
                <w:bCs/>
                <w:color w:val="000000"/>
                <w:sz w:val="17"/>
                <w:szCs w:val="17"/>
              </w:rPr>
              <w:t xml:space="preserve">Saving a year, licence included</w:t>
            </w:r>
          </w:p>
        </w:tc>
        <w:tc>
          <w:tcPr>
            <w:tcW w:type="dxa" w:w="2200"/>
            <w:tcMar>
              <w:top w:type="dxa" w:w="25"/>
              <w:left w:type="dxa" w:w="70"/>
              <w:bottom w:type="dxa" w:w="25"/>
              <w:right w:type="dxa" w:w="70"/>
            </w:tcMar>
          </w:tcPr>
          <w:p>
            <w:pPr>
              <w:jc w:val="right"/>
            </w:pPr>
            <w:r>
              <w:rPr>
                <w:rFonts w:ascii="Calibri" w:cs="Calibri" w:eastAsia="Calibri" w:hAnsi="Calibri"/>
                <w:b/>
                <w:bCs/>
                <w:color w:val="000000"/>
                <w:sz w:val="17"/>
                <w:szCs w:val="17"/>
              </w:rPr>
              <w:t xml:space="preserve">-</w:t>
            </w:r>
          </w:p>
        </w:tc>
        <w:tc>
          <w:tcPr>
            <w:tcW w:type="dxa" w:w="2300"/>
            <w:tcMar>
              <w:top w:type="dxa" w:w="25"/>
              <w:left w:type="dxa" w:w="70"/>
              <w:bottom w:type="dxa" w:w="25"/>
              <w:right w:type="dxa" w:w="70"/>
            </w:tcMar>
          </w:tcPr>
          <w:p>
            <w:pPr>
              <w:jc w:val="right"/>
            </w:pPr>
            <w:r>
              <w:rPr>
                <w:rFonts w:ascii="Calibri" w:cs="Calibri" w:eastAsia="Calibri" w:hAnsi="Calibri"/>
                <w:b/>
                <w:bCs/>
                <w:color w:val="000000"/>
                <w:sz w:val="17"/>
                <w:szCs w:val="17"/>
              </w:rPr>
              <w:t xml:space="preserve">Rs 6.3 lakh</w:t>
            </w:r>
          </w:p>
        </w:tc>
        <w:tc>
          <w:tcPr>
            <w:tcW w:type="dxa" w:w="2300"/>
            <w:tcMar>
              <w:top w:type="dxa" w:w="25"/>
              <w:left w:type="dxa" w:w="70"/>
              <w:bottom w:type="dxa" w:w="25"/>
              <w:right w:type="dxa" w:w="70"/>
            </w:tcMar>
          </w:tcPr>
          <w:p>
            <w:pPr>
              <w:jc w:val="right"/>
            </w:pPr>
            <w:r>
              <w:rPr>
                <w:rFonts w:ascii="Calibri" w:cs="Calibri" w:eastAsia="Calibri" w:hAnsi="Calibri"/>
                <w:b/>
                <w:bCs/>
                <w:color w:val="000000"/>
                <w:sz w:val="17"/>
                <w:szCs w:val="17"/>
              </w:rPr>
              <w:t xml:space="preserve">Rs 11.9 lakh</w:t>
            </w:r>
          </w:p>
        </w:tc>
      </w:tr>
      <w:tr>
        <w:tc>
          <w:tcPr>
            <w:tcW w:type="dxa" w:w="3300"/>
            <w:tcMar>
              <w:top w:type="dxa" w:w="25"/>
              <w:left w:type="dxa" w:w="70"/>
              <w:bottom w:type="dxa" w:w="25"/>
              <w:right w:type="dxa" w:w="70"/>
            </w:tcMar>
          </w:tcPr>
          <w:p>
            <w:pPr>
              <w:jc w:val="left"/>
            </w:pPr>
            <w:r>
              <w:rPr>
                <w:rFonts w:ascii="Calibri" w:cs="Calibri" w:eastAsia="Calibri" w:hAnsi="Calibri"/>
                <w:b w:val="false"/>
                <w:bCs w:val="false"/>
                <w:color w:val="000000"/>
                <w:sz w:val="17"/>
                <w:szCs w:val="17"/>
              </w:rPr>
              <w:t xml:space="preserve">Per-request and monthly run cost</w:t>
            </w:r>
          </w:p>
        </w:tc>
        <w:tc>
          <w:tcPr>
            <w:tcW w:type="dxa" w:w="2200"/>
            <w:tcMar>
              <w:top w:type="dxa" w:w="25"/>
              <w:left w:type="dxa" w:w="70"/>
              <w:bottom w:type="dxa" w:w="25"/>
              <w:right w:type="dxa" w:w="70"/>
            </w:tcMar>
          </w:tcPr>
          <w:p>
            <w:pPr>
              <w:jc w:val="right"/>
            </w:pPr>
            <w:r>
              <w:rPr>
                <w:rFonts w:ascii="Calibri" w:cs="Calibri" w:eastAsia="Calibri" w:hAnsi="Calibri"/>
                <w:b w:val="false"/>
                <w:bCs w:val="false"/>
                <w:color w:val="000000"/>
                <w:sz w:val="17"/>
                <w:szCs w:val="17"/>
              </w:rPr>
              <w:t xml:space="preserve">Rs 3.2 lakh licence</w:t>
            </w:r>
          </w:p>
        </w:tc>
        <w:tc>
          <w:tcPr>
            <w:tcW w:type="dxa" w:w="2300"/>
            <w:tcMar>
              <w:top w:type="dxa" w:w="25"/>
              <w:left w:type="dxa" w:w="70"/>
              <w:bottom w:type="dxa" w:w="25"/>
              <w:right w:type="dxa" w:w="70"/>
            </w:tcMar>
          </w:tcPr>
          <w:p>
            <w:pPr>
              <w:jc w:val="right"/>
            </w:pPr>
            <w:r>
              <w:rPr>
                <w:rFonts w:ascii="Calibri" w:cs="Calibri" w:eastAsia="Calibri" w:hAnsi="Calibri"/>
                <w:b w:val="false"/>
                <w:bCs w:val="false"/>
                <w:color w:val="000000"/>
                <w:sz w:val="17"/>
                <w:szCs w:val="17"/>
              </w:rPr>
              <w:t xml:space="preserve">Rs 0</w:t>
            </w:r>
          </w:p>
        </w:tc>
        <w:tc>
          <w:tcPr>
            <w:tcW w:type="dxa" w:w="2300"/>
            <w:tcMar>
              <w:top w:type="dxa" w:w="25"/>
              <w:left w:type="dxa" w:w="70"/>
              <w:bottom w:type="dxa" w:w="25"/>
              <w:right w:type="dxa" w:w="70"/>
            </w:tcMar>
          </w:tcPr>
          <w:p>
            <w:pPr>
              <w:jc w:val="right"/>
            </w:pPr>
            <w:r>
              <w:rPr>
                <w:rFonts w:ascii="Calibri" w:cs="Calibri" w:eastAsia="Calibri" w:hAnsi="Calibri"/>
                <w:b w:val="false"/>
                <w:bCs w:val="false"/>
                <w:color w:val="000000"/>
                <w:sz w:val="17"/>
                <w:szCs w:val="17"/>
              </w:rPr>
              <w:t xml:space="preserve">Rs 0</w:t>
            </w:r>
          </w:p>
        </w:tc>
      </w:tr>
    </w:tbl>
    <w:p>
      <w:pPr>
        <w:spacing w:after="40" w:before="30"/>
      </w:pPr>
      <w:r>
        <w:rPr>
          <w:rFonts w:ascii="Calibri" w:cs="Calibri" w:eastAsia="Calibri" w:hAnsi="Calibri"/>
          <w:i/>
          <w:iCs/>
          <w:color w:val="555555"/>
          <w:sz w:val="15"/>
          <w:szCs w:val="15"/>
        </w:rPr>
        <w:t xml:space="preserve">Savings use your policy costs (Rs 305 a transfer, Rs 260 an extra contact; a typical misroute costs Rs 701) on the Apr–Jun hold-out, scaled to a year. “Replacement now” counts every unclear request as still misrouted; “with triage question” assumes one Rs 260 clarifying contact fixes each one.</w:t>
      </w:r>
    </w:p>
    <w:p>
      <w:pPr>
        <w:pBdr>
          <w:bottom w:val="single" w:color="1F3A5F" w:sz="6" w:space="1"/>
        </w:pBdr>
        <w:spacing w:after="40" w:before="110"/>
      </w:pPr>
      <w:r>
        <w:rPr>
          <w:rFonts w:ascii="Calibri" w:cs="Calibri" w:eastAsia="Calibri" w:hAnsi="Calibri"/>
          <w:b/>
          <w:bCs/>
          <w:color w:val="1F3A5F"/>
          <w:sz w:val="21"/>
          <w:szCs w:val="21"/>
        </w:rPr>
        <w:t xml:space="preserve">Farhan: what it costs to run</w:t>
      </w:r>
    </w:p>
    <w:p>
      <w:pPr>
        <w:spacing w:after="70" w:line="245"/>
      </w:pPr>
      <w:r>
        <w:rPr>
          <w:rFonts w:ascii="Calibri" w:cs="Calibri" w:eastAsia="Calibri" w:hAnsi="Calibri"/>
          <w:b/>
          <w:bCs/>
          <w:sz w:val="19"/>
          <w:szCs w:val="19"/>
        </w:rPr>
        <w:t xml:space="preserve">Rs 0 per request and Rs 0 a month in usage charges. </w:t>
      </w:r>
      <w:r>
        <w:rPr>
          <w:rFonts w:ascii="Calibri" w:cs="Calibri" w:eastAsia="Calibri" w:hAnsi="Calibri"/>
          <w:sz w:val="19"/>
          <w:szCs w:val="19"/>
        </w:rPr>
        <w:t xml:space="preserve">It runs on an ordinary computer in about six seconds for the whole 18-month history, with no paid AI service, so the bill cannot grow with volume. Hosting it on your own server is not costed. The only cost is someone to retrain it every quarter.</w:t>
      </w:r>
    </w:p>
    <w:p>
      <w:pPr>
        <w:pBdr>
          <w:bottom w:val="single" w:color="1F3A5F" w:sz="6" w:space="1"/>
        </w:pBdr>
        <w:spacing w:after="40" w:before="110"/>
      </w:pPr>
      <w:r>
        <w:rPr>
          <w:rFonts w:ascii="Calibri" w:cs="Calibri" w:eastAsia="Calibri" w:hAnsi="Calibri"/>
          <w:b/>
          <w:bCs/>
          <w:color w:val="1F3A5F"/>
          <w:sz w:val="21"/>
          <w:szCs w:val="21"/>
        </w:rPr>
        <w:t xml:space="preserve">Meenal’s observations hold up</w:t>
      </w:r>
    </w:p>
    <w:p>
      <w:pPr>
        <w:spacing w:after="70" w:line="245"/>
      </w:pPr>
      <w:r>
        <w:rPr>
          <w:rFonts w:ascii="Calibri" w:cs="Calibri" w:eastAsia="Calibri" w:hAnsi="Calibri"/>
          <w:sz w:val="19"/>
          <w:szCs w:val="19"/>
        </w:rPr>
        <w:t xml:space="preserve">35% of the Billing queue is requests that end in another team, almost all with “paid” in the message (installation, repair). Billing is the right team only when the payment itself is the problem (policy §3). 22% of the Consumables queue is actually Repairs, mostly purifier breakdowns. The bot is about 94% right for Installs, Advice, Returns and Warranty, but only 60–65% right for Billing, Consumables and Repairs, and that is where the transfers come from.</w:t>
      </w:r>
    </w:p>
    <w:p>
      <w:pPr>
        <w:pBdr>
          <w:bottom w:val="single" w:color="1F3A5F" w:sz="6" w:space="1"/>
        </w:pBdr>
        <w:spacing w:after="40" w:before="110"/>
      </w:pPr>
      <w:r>
        <w:rPr>
          <w:rFonts w:ascii="Calibri" w:cs="Calibri" w:eastAsia="Calibri" w:hAnsi="Calibri"/>
          <w:b/>
          <w:bCs/>
          <w:color w:val="1F3A5F"/>
          <w:sz w:val="21"/>
          <w:szCs w:val="21"/>
        </w:rPr>
        <w:t xml:space="preserve">Ritu: which teams are busiest</w:t>
      </w:r>
    </w:p>
    <w:p>
      <w:pPr>
        <w:spacing w:after="70" w:line="245"/>
      </w:pPr>
      <w:r>
        <w:rPr>
          <w:rFonts w:ascii="Calibri" w:cs="Calibri" w:eastAsia="Calibri" w:hAnsi="Calibri"/>
          <w:sz w:val="19"/>
          <w:szCs w:val="19"/>
        </w:rPr>
        <w:t xml:space="preserve">Counting where requests actually close, per month: </w:t>
      </w:r>
      <w:r>
        <w:rPr>
          <w:rFonts w:ascii="Calibri" w:cs="Calibri" w:eastAsia="Calibri" w:hAnsi="Calibri"/>
          <w:b/>
          <w:bCs/>
          <w:sz w:val="19"/>
          <w:szCs w:val="19"/>
        </w:rPr>
        <w:t xml:space="preserve">Repairs 169, Installs &amp; Demo 106, Returns &amp; Replacement 103, Product Advice 93, Warranty Claims 92, Billing 88, Filters &amp; Consumables 71</w:t>
      </w:r>
      <w:r>
        <w:rPr>
          <w:rFonts w:ascii="Calibri" w:cs="Calibri" w:eastAsia="Calibri" w:hAnsi="Calibri"/>
          <w:sz w:val="19"/>
          <w:szCs w:val="19"/>
        </w:rPr>
        <w:t xml:space="preserve">. Plan headcount on this, not on queue size: the bot’s queues overstate Billing by 26% and Consumables by 37%, and understate Installs, Returns and Warranty by about 25%. This counts requests, not hours; handling time is not in the data.</w:t>
      </w:r>
    </w:p>
    <w:p>
      <w:pPr>
        <w:pBdr>
          <w:bottom w:val="single" w:color="1F3A5F" w:sz="6" w:space="1"/>
        </w:pBdr>
        <w:spacing w:after="40" w:before="110"/>
      </w:pPr>
      <w:r>
        <w:rPr>
          <w:rFonts w:ascii="Calibri" w:cs="Calibri" w:eastAsia="Calibri" w:hAnsi="Calibri"/>
          <w:b/>
          <w:bCs/>
          <w:color w:val="1F3A5F"/>
          <w:sz w:val="21"/>
          <w:szCs w:val="21"/>
        </w:rPr>
        <w:t xml:space="preserve">Before you switch</w:t>
      </w:r>
    </w:p>
    <w:p>
      <w:pPr>
        <w:pStyle w:val="ListParagraph"/>
        <w:numPr>
          <w:ilvl w:val="0"/>
          <w:numId w:val="2"/>
        </w:numPr>
        <w:spacing w:after="50" w:line="245"/>
      </w:pPr>
      <w:r>
        <w:rPr>
          <w:rFonts w:ascii="Calibri" w:cs="Calibri" w:eastAsia="Calibri" w:hAnsi="Calibri"/>
          <w:sz w:val="19"/>
          <w:szCs w:val="19"/>
        </w:rPr>
        <w:t xml:space="preserve">Run it in shadow for four weeks: the model suggests, the bot still routes, and we compare against where requests close. The July–September file has no answers, so I could not score it; the 84% comes from April–June.</w:t>
      </w:r>
    </w:p>
    <w:p>
      <w:pPr>
        <w:pStyle w:val="ListParagraph"/>
        <w:numPr>
          <w:ilvl w:val="0"/>
          <w:numId w:val="2"/>
        </w:numPr>
        <w:spacing w:after="50" w:line="245"/>
      </w:pPr>
      <w:r>
        <w:rPr>
          <w:rFonts w:ascii="Calibri" w:cs="Calibri" w:eastAsia="Calibri" w:hAnsi="Calibri"/>
          <w:sz w:val="19"/>
          <w:szCs w:val="19"/>
        </w:rPr>
        <w:t xml:space="preserve">Replace the 90% target with “requests that close in the first team they reach”. Today it is 75%; the model gets 84% overall and 94% on confident requests.</w:t>
      </w:r>
    </w:p>
    <w:p>
      <w:pPr>
        <w:pStyle w:val="ListParagraph"/>
        <w:numPr>
          <w:ilvl w:val="0"/>
          <w:numId w:val="2"/>
        </w:numPr>
        <w:spacing w:after="50" w:line="245"/>
      </w:pPr>
      <w:r>
        <w:rPr>
          <w:rFonts w:ascii="Calibri" w:cs="Calibri" w:eastAsia="Calibri" w:hAnsi="Calibri"/>
          <w:sz w:val="19"/>
          <w:szCs w:val="19"/>
        </w:rPr>
        <w:t xml:space="preserve">The data has 477 requests where the transfer count and the first/final team disagree. I used the final team as truth and the transfer count for cost.</w:t>
      </w:r>
    </w:p>
    <w:sectPr>
      <w:pgSz w:w="11906" w:h="16838" w:orient="portrait"/>
      <w:pgMar w:top="7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2026-10-08T03:09:12.692Z</dcterms:created>
  <dcterms:modified xsi:type="dcterms:W3CDTF">2026-10-08T03:09:12.696Z</dcterms:modified>
</cp:coreProperties>
</file>

<file path=docProps/custom.xml><?xml version="1.0" encoding="utf-8"?>
<Properties xmlns="http://schemas.openxmlformats.org/officeDocument/2006/custom-properties" xmlns:vt="http://schemas.openxmlformats.org/officeDocument/2006/docPropsVTypes"/>
</file>