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213" w:left="0" w:firstLine="0"/>
        <w:jc w:val="center"/>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FF0000"/>
          <w:spacing w:val="-10"/>
          <w:position w:val="0"/>
          <w:sz w:val="56"/>
          <w:shd w:fill="auto" w:val="clear"/>
        </w:rPr>
        <w:t xml:space="preserve">Vishwakarma Institute of Information Technology, Pune</w:t>
      </w:r>
    </w:p>
    <w:p>
      <w:pPr>
        <w:spacing w:before="240"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Autonomous</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Institute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Maharashtra)</w:t>
      </w:r>
    </w:p>
    <w:p>
      <w:pPr>
        <w:spacing w:before="0" w:after="0" w:line="240"/>
        <w:ind w:right="213" w:left="0" w:firstLine="0"/>
        <w:jc w:val="center"/>
        <w:rPr>
          <w:rFonts w:ascii="Times New Roman" w:hAnsi="Times New Roman" w:cs="Times New Roman" w:eastAsia="Times New Roman"/>
          <w:b/>
          <w:color w:val="auto"/>
          <w:spacing w:val="0"/>
          <w:position w:val="0"/>
          <w:sz w:val="20"/>
          <w:shd w:fill="auto" w:val="clear"/>
        </w:rPr>
      </w:pPr>
    </w:p>
    <w:p>
      <w:pPr>
        <w:spacing w:before="1" w:after="0" w:line="240"/>
        <w:ind w:right="213" w:left="0" w:firstLine="0"/>
        <w:jc w:val="center"/>
        <w:rPr>
          <w:rFonts w:ascii="Times New Roman" w:hAnsi="Times New Roman" w:cs="Times New Roman" w:eastAsia="Times New Roman"/>
          <w:b/>
          <w:color w:val="auto"/>
          <w:spacing w:val="-6"/>
          <w:position w:val="0"/>
          <w:sz w:val="28"/>
          <w:shd w:fill="auto" w:val="clear"/>
        </w:rPr>
      </w:pPr>
      <w:r>
        <w:rPr>
          <w:rFonts w:ascii="Times New Roman" w:hAnsi="Times New Roman" w:cs="Times New Roman" w:eastAsia="Times New Roman"/>
          <w:b/>
          <w:color w:val="auto"/>
          <w:spacing w:val="0"/>
          <w:position w:val="0"/>
          <w:sz w:val="28"/>
          <w:shd w:fill="auto" w:val="clear"/>
        </w:rPr>
        <w:t xml:space="preserve">A </w:t>
      </w:r>
      <w:r>
        <w:rPr>
          <w:rFonts w:ascii="Times New Roman" w:hAnsi="Times New Roman" w:cs="Times New Roman" w:eastAsia="Times New Roman"/>
          <w:b/>
          <w:color w:val="auto"/>
          <w:spacing w:val="-9"/>
          <w:position w:val="0"/>
          <w:sz w:val="28"/>
          <w:shd w:fill="auto" w:val="clear"/>
        </w:rPr>
        <w:t xml:space="preserve">Report</w:t>
      </w:r>
      <w:r>
        <w:rPr>
          <w:rFonts w:ascii="Times New Roman" w:hAnsi="Times New Roman" w:cs="Times New Roman" w:eastAsia="Times New Roman"/>
          <w:b/>
          <w:color w:val="auto"/>
          <w:spacing w:val="-6"/>
          <w:position w:val="0"/>
          <w:sz w:val="28"/>
          <w:shd w:fill="auto" w:val="clear"/>
        </w:rPr>
        <w:t xml:space="preserve"> </w:t>
      </w:r>
    </w:p>
    <w:p>
      <w:pPr>
        <w:spacing w:before="1" w:after="0" w:line="240"/>
        <w:ind w:right="2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5"/>
          <w:position w:val="0"/>
          <w:sz w:val="28"/>
          <w:shd w:fill="auto" w:val="clear"/>
        </w:rPr>
        <w:t xml:space="preserve">on</w:t>
      </w:r>
    </w:p>
    <w:p>
      <w:pPr>
        <w:spacing w:before="9" w:after="0" w:line="240"/>
        <w:ind w:right="213" w:left="0" w:firstLine="0"/>
        <w:jc w:val="center"/>
        <w:rPr>
          <w:rFonts w:ascii="Times New Roman" w:hAnsi="Times New Roman" w:cs="Times New Roman" w:eastAsia="Times New Roman"/>
          <w:b/>
          <w:color w:val="auto"/>
          <w:spacing w:val="0"/>
          <w:position w:val="0"/>
          <w:sz w:val="15"/>
          <w:shd w:fill="auto" w:val="clear"/>
        </w:rPr>
      </w:pPr>
      <w:r>
        <w:object w:dxaOrig="4384" w:dyaOrig="4384">
          <v:rect xmlns:o="urn:schemas-microsoft-com:office:office" xmlns:v="urn:schemas-microsoft-com:vml" id="rectole0000000000" style="width:219.200000pt;height:2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9" w:after="0" w:line="240"/>
        <w:ind w:right="213" w:left="0" w:firstLine="0"/>
        <w:jc w:val="center"/>
        <w:rPr>
          <w:rFonts w:ascii="Times New Roman" w:hAnsi="Times New Roman" w:cs="Times New Roman" w:eastAsia="Times New Roman"/>
          <w:b/>
          <w:color w:val="001F5F"/>
          <w:spacing w:val="-2"/>
          <w:position w:val="0"/>
          <w:sz w:val="32"/>
          <w:shd w:fill="auto" w:val="clear"/>
        </w:rPr>
      </w:pPr>
      <w:r>
        <w:rPr>
          <w:rFonts w:ascii="Times New Roman" w:hAnsi="Times New Roman" w:cs="Times New Roman" w:eastAsia="Times New Roman"/>
          <w:b/>
          <w:color w:val="auto"/>
          <w:spacing w:val="0"/>
          <w:position w:val="0"/>
          <w:sz w:val="28"/>
          <w:shd w:fill="auto" w:val="clear"/>
        </w:rPr>
        <w:t xml:space="preserve">CSE (AI) Department</w:t>
      </w:r>
    </w:p>
    <w:p>
      <w:pPr>
        <w:tabs>
          <w:tab w:val="left" w:pos="1772" w:leader="none"/>
          <w:tab w:val="center" w:pos="4970" w:leader="none"/>
        </w:tabs>
        <w:spacing w:before="159" w:after="0" w:line="240"/>
        <w:ind w:right="213"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1F5F"/>
          <w:spacing w:val="-2"/>
          <w:position w:val="0"/>
          <w:sz w:val="32"/>
          <w:shd w:fill="auto" w:val="clear"/>
        </w:rPr>
        <w:tab/>
        <w:tab/>
        <w:t xml:space="preserve">Vishwakarma Institute of Information Technology</w:t>
      </w:r>
    </w:p>
    <w:p>
      <w:pPr>
        <w:spacing w:before="185" w:after="0" w:line="240"/>
        <w:ind w:right="213" w:left="0" w:firstLine="0"/>
        <w:jc w:val="center"/>
        <w:rPr>
          <w:rFonts w:ascii="Times New Roman" w:hAnsi="Times New Roman" w:cs="Times New Roman" w:eastAsia="Times New Roman"/>
          <w:b/>
          <w:color w:val="001F5F"/>
          <w:spacing w:val="-4"/>
          <w:position w:val="0"/>
          <w:sz w:val="28"/>
          <w:shd w:fill="auto" w:val="clear"/>
        </w:rPr>
      </w:pPr>
      <w:r>
        <w:rPr>
          <w:rFonts w:ascii="Times New Roman" w:hAnsi="Times New Roman" w:cs="Times New Roman" w:eastAsia="Times New Roman"/>
          <w:b/>
          <w:color w:val="001F5F"/>
          <w:spacing w:val="0"/>
          <w:position w:val="0"/>
          <w:sz w:val="28"/>
          <w:shd w:fill="auto" w:val="clear"/>
        </w:rPr>
        <w:t xml:space="preserve">Academic</w:t>
      </w:r>
      <w:r>
        <w:rPr>
          <w:rFonts w:ascii="Times New Roman" w:hAnsi="Times New Roman" w:cs="Times New Roman" w:eastAsia="Times New Roman"/>
          <w:b/>
          <w:color w:val="001F5F"/>
          <w:spacing w:val="-11"/>
          <w:position w:val="0"/>
          <w:sz w:val="28"/>
          <w:shd w:fill="auto" w:val="clear"/>
        </w:rPr>
        <w:t xml:space="preserve"> </w:t>
      </w:r>
      <w:r>
        <w:rPr>
          <w:rFonts w:ascii="Times New Roman" w:hAnsi="Times New Roman" w:cs="Times New Roman" w:eastAsia="Times New Roman"/>
          <w:b/>
          <w:color w:val="001F5F"/>
          <w:spacing w:val="0"/>
          <w:position w:val="0"/>
          <w:sz w:val="28"/>
          <w:shd w:fill="auto" w:val="clear"/>
        </w:rPr>
        <w:t xml:space="preserve">Year</w:t>
      </w:r>
      <w:r>
        <w:rPr>
          <w:rFonts w:ascii="Times New Roman" w:hAnsi="Times New Roman" w:cs="Times New Roman" w:eastAsia="Times New Roman"/>
          <w:b/>
          <w:color w:val="001F5F"/>
          <w:spacing w:val="-6"/>
          <w:position w:val="0"/>
          <w:sz w:val="28"/>
          <w:shd w:fill="auto" w:val="clear"/>
        </w:rPr>
        <w:t xml:space="preserve">:</w:t>
      </w: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4"/>
          <w:position w:val="0"/>
          <w:sz w:val="28"/>
          <w:shd w:fill="auto" w:val="clear"/>
        </w:rPr>
        <w:t xml:space="preserve">2023-24</w:t>
      </w:r>
    </w:p>
    <w:p>
      <w:pPr>
        <w:spacing w:before="185" w:after="0" w:line="240"/>
        <w:ind w:right="213"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001F5F"/>
          <w:spacing w:val="0"/>
          <w:position w:val="0"/>
          <w:sz w:val="40"/>
          <w:shd w:fill="auto" w:val="clear"/>
        </w:rPr>
        <w:t xml:space="preserve"> “Assignment 5: Data Visualization</w:t>
      </w:r>
      <w:r>
        <w:rPr>
          <w:rFonts w:ascii="Times New Roman" w:hAnsi="Times New Roman" w:cs="Times New Roman" w:eastAsia="Times New Roman"/>
          <w:b/>
          <w:color w:val="001F5F"/>
          <w:spacing w:val="-2"/>
          <w:position w:val="0"/>
          <w:sz w:val="40"/>
          <w:shd w:fill="auto" w:val="clear"/>
        </w:rPr>
        <w:t xml:space="preserve">”</w:t>
      </w:r>
    </w:p>
    <w:p>
      <w:pPr>
        <w:spacing w:before="0" w:after="0" w:line="240"/>
        <w:ind w:right="213" w:left="0" w:firstLine="0"/>
        <w:jc w:val="left"/>
        <w:rPr>
          <w:rFonts w:ascii="Times New Roman" w:hAnsi="Times New Roman" w:cs="Times New Roman" w:eastAsia="Times New Roman"/>
          <w:b/>
          <w:color w:val="833909"/>
          <w:spacing w:val="0"/>
          <w:position w:val="0"/>
          <w:sz w:val="28"/>
          <w:shd w:fill="auto" w:val="clear"/>
        </w:rPr>
      </w:pPr>
      <w:r>
        <w:rPr>
          <w:rFonts w:ascii="Times New Roman" w:hAnsi="Times New Roman" w:cs="Times New Roman" w:eastAsia="Times New Roman"/>
          <w:b/>
          <w:color w:val="833909"/>
          <w:spacing w:val="0"/>
          <w:position w:val="0"/>
          <w:sz w:val="28"/>
          <w:shd w:fill="auto" w:val="clear"/>
        </w:rPr>
        <w:t xml:space="preserve">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Submitted</w:t>
      </w:r>
      <w:r>
        <w:rPr>
          <w:rFonts w:ascii="Times New Roman" w:hAnsi="Times New Roman" w:cs="Times New Roman" w:eastAsia="Times New Roman"/>
          <w:b/>
          <w:color w:val="006DC0"/>
          <w:spacing w:val="-8"/>
          <w:position w:val="0"/>
          <w:sz w:val="28"/>
          <w:shd w:fill="auto" w:val="clear"/>
        </w:rPr>
        <w:t xml:space="preserve"> by</w:t>
      </w:r>
    </w:p>
    <w:p>
      <w:pPr>
        <w:spacing w:before="0" w:after="0" w:line="240"/>
        <w:ind w:right="213" w:left="0" w:firstLine="0"/>
        <w:jc w:val="center"/>
        <w:rPr>
          <w:rFonts w:ascii="Times New Roman" w:hAnsi="Times New Roman" w:cs="Times New Roman" w:eastAsia="Times New Roman"/>
          <w:b/>
          <w:color w:val="auto"/>
          <w:spacing w:val="0"/>
          <w:position w:val="0"/>
          <w:sz w:val="28"/>
          <w:shd w:fill="auto" w:val="clear"/>
        </w:rPr>
      </w:pPr>
    </w:p>
    <w:tbl>
      <w:tblPr/>
      <w:tblGrid>
        <w:gridCol w:w="2743"/>
        <w:gridCol w:w="2920"/>
        <w:gridCol w:w="3353"/>
      </w:tblGrid>
      <w:tr>
        <w:trPr>
          <w:trHeight w:val="1" w:hRule="atLeast"/>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Sr No </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Email</w:t>
            </w:r>
          </w:p>
        </w:tc>
      </w:tr>
      <w:tr>
        <w:trPr>
          <w:trHeight w:val="467" w:hRule="auto"/>
          <w:jc w:val="left"/>
        </w:trPr>
        <w:tc>
          <w:tcPr>
            <w:tcW w:w="2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Omkar Bhaskar Rode </w:t>
            </w:r>
          </w:p>
        </w:tc>
        <w:tc>
          <w:tcPr>
            <w:tcW w:w="3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213"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omkar.22211052@viit.ac.in</w:t>
            </w:r>
          </w:p>
        </w:tc>
      </w:tr>
    </w:tbl>
    <w:p>
      <w:pPr>
        <w:spacing w:before="0" w:after="0" w:line="360"/>
        <w:ind w:right="213" w:left="0" w:hanging="20"/>
        <w:jc w:val="center"/>
        <w:rPr>
          <w:rFonts w:ascii="Times New Roman" w:hAnsi="Times New Roman" w:cs="Times New Roman" w:eastAsia="Times New Roman"/>
          <w:b/>
          <w:color w:val="auto"/>
          <w:spacing w:val="0"/>
          <w:position w:val="0"/>
          <w:sz w:val="24"/>
          <w:shd w:fill="auto" w:val="clear"/>
        </w:rPr>
      </w:pP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r>
        <w:rPr>
          <w:rFonts w:ascii="Times New Roman" w:hAnsi="Times New Roman" w:cs="Times New Roman" w:eastAsia="Times New Roman"/>
          <w:b/>
          <w:color w:val="006DC0"/>
          <w:spacing w:val="0"/>
          <w:position w:val="0"/>
          <w:sz w:val="28"/>
          <w:shd w:fill="auto" w:val="clear"/>
        </w:rPr>
        <w:t xml:space="preserve">Under Guidance of </w:t>
      </w:r>
    </w:p>
    <w:p>
      <w:pPr>
        <w:spacing w:before="0" w:after="0" w:line="240"/>
        <w:ind w:right="213" w:left="0" w:firstLine="0"/>
        <w:jc w:val="center"/>
        <w:rPr>
          <w:rFonts w:ascii="Times New Roman" w:hAnsi="Times New Roman" w:cs="Times New Roman" w:eastAsia="Times New Roman"/>
          <w:b/>
          <w:color w:val="006DC0"/>
          <w:spacing w:val="-5"/>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Anuradha</w:t>
      </w:r>
      <w:r>
        <w:rPr>
          <w:rFonts w:ascii="Times New Roman" w:hAnsi="Times New Roman" w:cs="Times New Roman" w:eastAsia="Times New Roman"/>
          <w:color w:val="auto"/>
          <w:spacing w:val="-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Yenkikar</w:t>
      </w:r>
      <w:r>
        <w:rPr>
          <w:rFonts w:ascii="Times New Roman" w:hAnsi="Times New Roman" w:cs="Times New Roman" w:eastAsia="Times New Roman"/>
          <w:color w:val="auto"/>
          <w:spacing w:val="-1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Problem Statement: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the data using R/Python by plotting the graphs for assignment no. 1 and 2. Consider a suitable data set.  Use Scatter plot, bar plot, Box plot and Histogram.</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Packages / Libraries used: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NumPy</w:t>
      </w:r>
      <w:r>
        <w:rPr>
          <w:rFonts w:ascii="Times New Roman" w:hAnsi="Times New Roman" w:cs="Times New Roman" w:eastAsia="Times New Roman"/>
          <w:color w:val="auto"/>
          <w:spacing w:val="0"/>
          <w:position w:val="0"/>
          <w:sz w:val="24"/>
          <w:shd w:fill="auto" w:val="clear"/>
        </w:rPr>
        <w:t xml:space="preserve">: Utilized for numerical computations and data manipulation tasks.</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Employed for basic data visualization such as scatter plots, histograms, and bar plots.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Primarily used for data manipulation and analysis, including reading data from CSV and Excel files, indexing, selecting, sorting, describing attributes, checking data types, counting unique values, formatting columns, converting data types, and handling missing values.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Utilized for advanced data visualization, complementing Matplotlib with additional statistical graphics and enhancing the visual appeal of plots.</w:t>
      </w:r>
    </w:p>
    <w:p>
      <w:pPr>
        <w:keepNext w:val="true"/>
        <w:keepLines w:val="true"/>
        <w:spacing w:before="360" w:after="80" w:line="240"/>
        <w:ind w:right="0" w:left="0" w:firstLine="0"/>
        <w:jc w:val="left"/>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Theory: -</w:t>
      </w:r>
    </w:p>
    <w:p>
      <w:pPr>
        <w:numPr>
          <w:ilvl w:val="0"/>
          <w:numId w:val="3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Scatter Plot</w:t>
      </w:r>
      <w:r>
        <w:rPr>
          <w:rFonts w:ascii="Times New Roman" w:hAnsi="Times New Roman" w:cs="Times New Roman" w:eastAsia="Times New Roman"/>
          <w:color w:val="auto"/>
          <w:spacing w:val="0"/>
          <w:position w:val="0"/>
          <w:sz w:val="24"/>
          <w:shd w:fill="auto" w:val="clear"/>
        </w:rPr>
        <w:t xml:space="preserve">:</w:t>
      </w:r>
    </w:p>
    <w:p>
      <w:pPr>
        <w:numPr>
          <w:ilvl w:val="0"/>
          <w:numId w:val="33"/>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scatter plot is used to visualize the relationship between two continuous variables. Each data point is represented as a point on the plot, with the x-axis representing one variable and the y-axis representing the other variable.</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3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 Plot</w:t>
      </w:r>
      <w:r>
        <w:rPr>
          <w:rFonts w:ascii="Times New Roman" w:hAnsi="Times New Roman" w:cs="Times New Roman" w:eastAsia="Times New Roman"/>
          <w:color w:val="auto"/>
          <w:spacing w:val="0"/>
          <w:position w:val="0"/>
          <w:sz w:val="24"/>
          <w:shd w:fill="auto" w:val="clear"/>
        </w:rPr>
        <w:t xml:space="preserve">:</w:t>
      </w:r>
    </w:p>
    <w:p>
      <w:pPr>
        <w:numPr>
          <w:ilvl w:val="0"/>
          <w:numId w:val="3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bar plot is suitable for visualizing the distribution of a categorical variable or comparing the values of a categorical variable across different groups. In this case, it seems that the GRE Score and TOEFL Score are being compared using a bar plot.</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Histogram</w:t>
      </w:r>
      <w:r>
        <w:rPr>
          <w:rFonts w:ascii="Times New Roman" w:hAnsi="Times New Roman" w:cs="Times New Roman" w:eastAsia="Times New Roman"/>
          <w:color w:val="auto"/>
          <w:spacing w:val="0"/>
          <w:position w:val="0"/>
          <w:sz w:val="24"/>
          <w:shd w:fill="auto" w:val="clear"/>
        </w:rPr>
        <w:t xml:space="preserve">:</w:t>
      </w:r>
    </w:p>
    <w:p>
      <w:pPr>
        <w:numPr>
          <w:ilvl w:val="0"/>
          <w:numId w:val="39"/>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histogram is used to visualize the distribution of a single continuous variable. It divides the variable into bins and shows the frequency or density of data points within each bin. Here, a histogram of the GRE Score is plotted.</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4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Box Plot</w:t>
      </w:r>
      <w:r>
        <w:rPr>
          <w:rFonts w:ascii="Times New Roman" w:hAnsi="Times New Roman" w:cs="Times New Roman" w:eastAsia="Times New Roman"/>
          <w:color w:val="auto"/>
          <w:spacing w:val="0"/>
          <w:position w:val="0"/>
          <w:sz w:val="24"/>
          <w:shd w:fill="auto" w:val="clear"/>
        </w:rPr>
        <w:t xml:space="preserve">:</w:t>
      </w:r>
    </w:p>
    <w:p>
      <w:pPr>
        <w:numPr>
          <w:ilvl w:val="0"/>
          <w:numId w:val="42"/>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box plot (or box-and-whisker plot) is used to display the distribution of a continuous variable and highlight any outliers or extreme values. It provides a visual summary of the data's central tendency, spread, and variability.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Methodology: -</w:t>
      </w:r>
    </w:p>
    <w:p>
      <w:pPr>
        <w:numPr>
          <w:ilvl w:val="0"/>
          <w:numId w:val="4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Scatter Plot:</w:t>
      </w:r>
    </w:p>
    <w:p>
      <w:pPr>
        <w:numPr>
          <w:ilvl w:val="0"/>
          <w:numId w:val="4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scatter plot is created using plt.scatter() function, with 'GRE Score' on the x-axis and 'TOEFL Score' on the y-axis. This allows visualizing the relationship between the GRE and TOEFL scores.</w:t>
      </w:r>
    </w:p>
    <w:p>
      <w:pPr>
        <w:numPr>
          <w:ilvl w:val="0"/>
          <w:numId w:val="4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 Plot:</w:t>
      </w:r>
    </w:p>
    <w:p>
      <w:pPr>
        <w:numPr>
          <w:ilvl w:val="0"/>
          <w:numId w:val="4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bar plot is created using plt.bar() function, with 'GRE Score' on the x-axis and 'TOEFL Score' on the y-axis. This allows comparing the GRE and TOEFL scores across different categories.</w:t>
      </w:r>
    </w:p>
    <w:p>
      <w:pPr>
        <w:numPr>
          <w:ilvl w:val="0"/>
          <w:numId w:val="4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Histogram:</w:t>
      </w:r>
    </w:p>
    <w:p>
      <w:pPr>
        <w:numPr>
          <w:ilvl w:val="0"/>
          <w:numId w:val="4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histogram is created using sns.histplot() function, with 'GRE Score' on the x-axis. This allows visualizing the distribution of GRE scores in the dataset.</w:t>
      </w:r>
    </w:p>
    <w:p>
      <w:pPr>
        <w:numPr>
          <w:ilvl w:val="0"/>
          <w:numId w:val="46"/>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 Plot:</w:t>
      </w:r>
    </w:p>
    <w:p>
      <w:pPr>
        <w:numPr>
          <w:ilvl w:val="0"/>
          <w:numId w:val="46"/>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box plot is created using sns.boxplot() function, with 'GRE Score' on the x-axis. This allows visualizing the distribution of GRE scores and identifying any outliers.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00000"/>
          <w:spacing w:val="0"/>
          <w:position w:val="0"/>
          <w:sz w:val="32"/>
          <w:shd w:fill="auto" w:val="clear"/>
        </w:rPr>
        <w:t xml:space="preserve">Application: -</w:t>
      </w:r>
    </w:p>
    <w:p>
      <w:pPr>
        <w:numPr>
          <w:ilvl w:val="0"/>
          <w:numId w:val="5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Making in Education:</w:t>
      </w:r>
    </w:p>
    <w:p>
      <w:pPr>
        <w:numPr>
          <w:ilvl w:val="0"/>
          <w:numId w:val="58"/>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Visualizing the distribution of GRE and TOEFL scores can aid educational institutions in making admissions decisions. Understanding the distribution of scores allows institutions to set appropriate cutoffs or criteria for admissions, ensuring a fair and transparent selection process.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Evaluation in Test Preparation Programs:</w:t>
      </w:r>
    </w:p>
    <w:p>
      <w:pPr>
        <w:numPr>
          <w:ilvl w:val="0"/>
          <w:numId w:val="61"/>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preparation programs can use visualizations of GRE and TOEFL score distributions to evaluate the effectiveness of their programs. By comparing the distribution of scores before and after program participation, they can assess whether the program is helping students improve their scores.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Trends in Applicant Profiles:</w:t>
      </w:r>
    </w:p>
    <w:p>
      <w:pPr>
        <w:numPr>
          <w:ilvl w:val="0"/>
          <w:numId w:val="64"/>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Admission committees can analyze the distribution of GRE and TOEFL scores over time to identify trends in applicant profiles. For example, they can determine whether there is an increasing number of applicants with high scores or if there are shifts in the distribution of scores across different demographic groups.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6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Benchmarking Against Competitors:</w:t>
      </w:r>
    </w:p>
    <w:p>
      <w:pPr>
        <w:numPr>
          <w:ilvl w:val="0"/>
          <w:numId w:val="67"/>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Educational institutions can use visualizations of GRE and TOEFL score distributions to benchmark themselves against competitors or peer institutions. Comparing score distributions can provide insights into areas of strength and areas for improvement, helping institutions develop targeted strategies to attract high-performing applicants.</w:t>
      </w:r>
    </w:p>
    <w:p>
      <w:pPr>
        <w:spacing w:before="0" w:after="0" w:line="360"/>
        <w:ind w:right="0" w:left="1440" w:firstLine="0"/>
        <w:jc w:val="both"/>
        <w:rPr>
          <w:rFonts w:ascii="Times New Roman" w:hAnsi="Times New Roman" w:cs="Times New Roman" w:eastAsia="Times New Roman"/>
          <w:color w:val="auto"/>
          <w:spacing w:val="0"/>
          <w:position w:val="0"/>
          <w:sz w:val="24"/>
          <w:shd w:fill="auto" w:val="clear"/>
        </w:rPr>
      </w:pPr>
    </w:p>
    <w:p>
      <w:pPr>
        <w:numPr>
          <w:ilvl w:val="0"/>
          <w:numId w:val="7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Tailoring Marketing and Outreach Efforts:</w:t>
      </w:r>
    </w:p>
    <w:p>
      <w:pPr>
        <w:numPr>
          <w:ilvl w:val="0"/>
          <w:numId w:val="70"/>
        </w:numPr>
        <w:tabs>
          <w:tab w:val="left" w:pos="1440" w:leader="none"/>
        </w:tabs>
        <w:spacing w:before="0" w:after="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preparation companies, educational consultants, and recruitment agencies can use insights from score distributions to tailor their marketing and outreach efforts. For example, they can target advertising campaigns or outreach activities to specific demographic groups or regions based on the distribution of scores.</w:t>
      </w:r>
    </w:p>
    <w:p>
      <w:pPr>
        <w:keepNext w:val="true"/>
        <w:keepLines w:val="true"/>
        <w:spacing w:before="360" w:after="80" w:line="360"/>
        <w:ind w:right="0" w:left="0" w:firstLine="0"/>
        <w:jc w:val="both"/>
        <w:rPr>
          <w:rFonts w:ascii="Aptos Display" w:hAnsi="Aptos Display" w:cs="Aptos Display" w:eastAsia="Aptos Display"/>
          <w:color w:val="000000"/>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Diagrams: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1016" w:dyaOrig="10786">
          <v:rect xmlns:o="urn:schemas-microsoft-com:office:office" xmlns:v="urn:schemas-microsoft-com:vml" id="rectole0000000001" style="width:550.800000pt;height:539.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1241" w:dyaOrig="10886">
          <v:rect xmlns:o="urn:schemas-microsoft-com:office:office" xmlns:v="urn:schemas-microsoft-com:vml" id="rectole0000000002" style="width:562.050000pt;height:54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0908" w:dyaOrig="8683">
          <v:rect xmlns:o="urn:schemas-microsoft-com:office:office" xmlns:v="urn:schemas-microsoft-com:vml" id="rectole0000000003" style="width:545.400000pt;height:434.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12875" w:dyaOrig="11255">
          <v:rect xmlns:o="urn:schemas-microsoft-com:office:office" xmlns:v="urn:schemas-microsoft-com:vml" id="rectole0000000004" style="width:643.750000pt;height:56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360" w:after="80" w:line="240"/>
        <w:ind w:right="0" w:left="0" w:firstLine="0"/>
        <w:jc w:val="both"/>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00000"/>
          <w:spacing w:val="0"/>
          <w:position w:val="0"/>
          <w:sz w:val="40"/>
          <w:shd w:fill="auto" w:val="clear"/>
        </w:rPr>
        <w:t xml:space="preserve">Conclusion</w:t>
      </w:r>
      <w:r>
        <w:rPr>
          <w:rFonts w:ascii="Aptos Display" w:hAnsi="Aptos Display" w:cs="Aptos Display" w:eastAsia="Aptos Display"/>
          <w:color w:val="0F4761"/>
          <w:spacing w:val="0"/>
          <w:position w:val="0"/>
          <w:sz w:val="40"/>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t xml:space="preserve">In summary, the visualization techniques applied to the GRE and TOEFL score data provide valuable insights into their distribution and relationships. These visualizations, including scatter plots, bar plots, histograms, and box plots, facilitate exploratory data analysis by uncovering trends, identifying outliers, and supporting data-driven decision-making. From educational admissions to resource allocation, these visualizations offer diverse applications in the education sector and related industries. Overall, they play a crucial role in deriving insights from data, informing strategic initiatives, and driving positive outcomes through informed decision-making.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5">
    <w:abstractNumId w:val="78"/>
  </w:num>
  <w:num w:numId="27">
    <w:abstractNumId w:val="72"/>
  </w:num>
  <w:num w:numId="29">
    <w:abstractNumId w:val="66"/>
  </w:num>
  <w:num w:numId="31">
    <w:abstractNumId w:val="60"/>
  </w:num>
  <w:num w:numId="33">
    <w:abstractNumId w:val="54"/>
  </w:num>
  <w:num w:numId="36">
    <w:abstractNumId w:val="48"/>
  </w:num>
  <w:num w:numId="39">
    <w:abstractNumId w:val="42"/>
  </w:num>
  <w:num w:numId="42">
    <w:abstractNumId w:val="36"/>
  </w:num>
  <w:num w:numId="46">
    <w:abstractNumId w:val="30"/>
  </w:num>
  <w:num w:numId="58">
    <w:abstractNumId w:val="24"/>
  </w:num>
  <w:num w:numId="61">
    <w:abstractNumId w:val="18"/>
  </w:num>
  <w:num w:numId="64">
    <w:abstractNumId w:val="12"/>
  </w:num>
  <w:num w:numId="67">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