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00"/>
        <w:jc w:val="center"/>
      </w:pPr>
      <w:r>
        <w:rPr>
          <w:b/>
          <w:bCs/>
          <w:color w:val="1F4E79"/>
          <w:sz w:val="30"/>
          <w:szCs w:val="30"/>
        </w:rPr>
        <w:t xml:space="preserve">SMART INDIA HACKATHON</w:t>
      </w:r>
    </w:p>
    <w:p>
      <w:pPr>
        <w:spacing w:after="400"/>
        <w:jc w:val="center"/>
      </w:pPr>
      <w:r>
        <w:rPr>
          <w:i/>
          <w:iCs/>
          <w:color w:val="2E75B6"/>
          <w:sz w:val="24"/>
          <w:szCs w:val="24"/>
        </w:rPr>
        <w:t xml:space="preserve">Project Proposal &amp; Implementation Plan</w:t>
      </w:r>
    </w:p>
    <w:p>
      <w:pPr>
        <w:spacing w:after="300"/>
        <w:jc w:val="center"/>
      </w:pPr>
      <w:r>
        <w:rPr>
          <w:b/>
          <w:bCs/>
          <w:color w:val="000000"/>
          <w:sz w:val="32"/>
          <w:szCs w:val="32"/>
        </w:rPr>
        <w:t xml:space="preserve">An Interactive Vision-Language Assistant for Multimodal Remote Sensing Image Analysis through Text Queries</w:t>
      </w:r>
    </w:p>
    <w:p>
      <w:pPr>
        <w:pBdr>
          <w:bottom w:val="single" w:color="2E75B6" w:sz="6" w:space="1"/>
        </w:pBdr>
        <w:spacing w:after="200"/>
      </w:pPr>
    </w:p>
    <w:p>
      <w:pPr>
        <w:spacing w:after="100"/>
        <w:jc w:val="center"/>
      </w:pPr>
      <w:r>
        <w:rPr>
          <w:sz w:val="22"/>
          <w:szCs w:val="22"/>
        </w:rPr>
        <w:t xml:space="preserve">Domain: Space Technology / Remote Sensing &amp; Geo-Informatics</w:t>
      </w:r>
    </w:p>
    <w:p>
      <w:pPr>
        <w:spacing w:after="100"/>
        <w:jc w:val="center"/>
      </w:pPr>
      <w:r>
        <w:rPr>
          <w:sz w:val="22"/>
          <w:szCs w:val="22"/>
        </w:rPr>
        <w:t xml:space="preserve">Category: Software  |  Theme: AI/ML, Computer Vision, NLP</w:t>
      </w:r>
    </w:p>
    <w:p>
      <w:pPr>
        <w:spacing w:after="600"/>
        <w:jc w:val="center"/>
      </w:pPr>
      <w:r>
        <w:rPr>
          <w:i/>
          <w:iCs/>
          <w:color w:val="555555"/>
          <w:sz w:val="20"/>
          <w:szCs w:val="20"/>
        </w:rPr>
        <w:t xml:space="preserve">Prepared as a technical reference document for team planning and implementation</w:t>
      </w:r>
    </w:p>
    <w:p>
      <w:pPr>
        <w:pageBreakBefore/>
      </w:pPr>
    </w:p>
    <w:p>
      <w:pPr>
        <w:pStyle w:val="Heading1"/>
        <w:spacing w:after="160" w:before="360"/>
      </w:pPr>
      <w:r>
        <w:t xml:space="preserve">1. Problem Statement — Understanding &amp; Restatement</w:t>
      </w:r>
    </w:p>
    <w:p>
      <w:pPr>
        <w:spacing w:after="140" w:line="300"/>
      </w:pPr>
      <w:r>
        <w:t xml:space="preserve">Remote sensing (RS) satellites and UAVs generate massive volumes of multimodal imagery (optical, multispectral, SAR, thermal) every day. Analysts currently need specialised GIS training and manual effort to extract insights such as land-use classification, object detection, change detection, and disaster assessment from this imagery. There is a need for an intelligent system that allows a user to simply type or speak a natural-language query about a satellite/aerial image and receive an accurate, grounded, human-readable answer — without needing to operate complex GIS software.</w:t>
      </w:r>
    </w:p>
    <w:p>
      <w:pPr>
        <w:spacing w:after="140" w:line="300"/>
      </w:pPr>
      <w:r>
        <w:t xml:space="preserve">The goal of this project is to design and build an Interactive Vision-Language Assistant that fuses computer vision (image understanding) with natural language processing (query understanding &amp; response generation) so that users can 'converse' with remote sensing imagery — asking questions like "How many ships are docked at this port?", "Has the forest cover reduced compared to last year?", or "Identify flooded regions in this scene" — and get precise, explainable answers, optionally with visual grounding (bounding boxes/masks) on the image itself.</w:t>
      </w:r>
    </w:p>
    <w:p>
      <w:pPr>
        <w:pStyle w:val="Heading2"/>
        <w:spacing w:after="120" w:before="260"/>
      </w:pPr>
      <w:r>
        <w:t xml:space="preserve">1.1 Core Capabilities Expected</w:t>
      </w:r>
    </w:p>
    <w:p>
      <w:pPr>
        <w:pStyle w:val="ListParagraph"/>
        <w:numPr>
          <w:ilvl w:val="0"/>
          <w:numId w:val="2"/>
        </w:numPr>
        <w:spacing w:after="90" w:line="290"/>
      </w:pPr>
      <w:r>
        <w:t xml:space="preserve">Image Captioning — generate a natural-language description of a given RS scene (urban, agricultural, coastal, forest, etc.)</w:t>
      </w:r>
    </w:p>
    <w:p>
      <w:pPr>
        <w:pStyle w:val="ListParagraph"/>
        <w:numPr>
          <w:ilvl w:val="0"/>
          <w:numId w:val="2"/>
        </w:numPr>
        <w:spacing w:after="90" w:line="290"/>
      </w:pPr>
      <w:r>
        <w:t xml:space="preserve">Visual Question Answering (VQA) — answer free-form questions about objects, counts, land cover, and spatial relationships in the image</w:t>
      </w:r>
    </w:p>
    <w:p>
      <w:pPr>
        <w:pStyle w:val="ListParagraph"/>
        <w:numPr>
          <w:ilvl w:val="0"/>
          <w:numId w:val="2"/>
        </w:numPr>
        <w:spacing w:after="90" w:line="290"/>
      </w:pPr>
      <w:r>
        <w:t xml:space="preserve">Object Detection &amp; Localization / Visual Grounding — detect objects (ships, vehicles, buildings, airplanes) and highlight them with bounding boxes when referenced in a query</w:t>
      </w:r>
    </w:p>
    <w:p>
      <w:pPr>
        <w:pStyle w:val="ListParagraph"/>
        <w:numPr>
          <w:ilvl w:val="0"/>
          <w:numId w:val="2"/>
        </w:numPr>
        <w:spacing w:after="90" w:line="290"/>
      </w:pPr>
      <w:r>
        <w:t xml:space="preserve">Scene Classification — classify the RS image into categories (residential, industrial, agricultural, water body, forest, etc.)</w:t>
      </w:r>
    </w:p>
    <w:p>
      <w:pPr>
        <w:pStyle w:val="ListParagraph"/>
        <w:numPr>
          <w:ilvl w:val="0"/>
          <w:numId w:val="2"/>
        </w:numPr>
        <w:spacing w:after="90" w:line="290"/>
      </w:pPr>
      <w:r>
        <w:t xml:space="preserve">Change Detection — compare two temporal images of the same location and describe/quantify changes in natural language</w:t>
      </w:r>
    </w:p>
    <w:p>
      <w:pPr>
        <w:pStyle w:val="ListParagraph"/>
        <w:numPr>
          <w:ilvl w:val="0"/>
          <w:numId w:val="2"/>
        </w:numPr>
        <w:spacing w:after="90" w:line="290"/>
      </w:pPr>
      <w:r>
        <w:t xml:space="preserve">Multimodal &amp; Multi-sensor Support — handle optical (RGB), multispectral, and where possible SAR/infrared inputs</w:t>
      </w:r>
    </w:p>
    <w:p>
      <w:pPr>
        <w:pStyle w:val="ListParagraph"/>
        <w:numPr>
          <w:ilvl w:val="0"/>
          <w:numId w:val="2"/>
        </w:numPr>
        <w:spacing w:after="90" w:line="290"/>
      </w:pPr>
      <w:r>
        <w:t xml:space="preserve">Conversational / Multi-turn Interaction — allow follow-up questions that retain context of the previously discussed image and region</w:t>
      </w:r>
    </w:p>
    <w:p>
      <w:pPr>
        <w:pStyle w:val="Heading1"/>
        <w:spacing w:after="160" w:before="360"/>
      </w:pPr>
      <w:r>
        <w:t xml:space="preserve">2. Proposed Solution — Overview</w:t>
      </w:r>
    </w:p>
    <w:p>
      <w:pPr>
        <w:spacing w:after="140" w:line="300"/>
      </w:pPr>
      <w:r>
        <w:t xml:space="preserve">We propose building a domain-adapted Vision-Language Model (VLM) pipeline, inspired by recent remote-sensing-specific research systems such as GeoChat, RS-LLaVA, EarthGPT and RSGPT, combined with a lightweight, task-specific computer-vision backbone for detection/segmentation and a retrieval-augmented, tool-using orchestration layer. Rather than training a giant foundation model from scratch (infeasible in a hackathon timeframe), the solution fine-tunes an existing open-source Large Vision-Language Model on curated remote-sensing instruction data using parameter-efficient techniques (LoRA / QLoRA), and wraps it with supporting CV tools (detector, change-detection module) that the language model can call as 'tools' to ground its answers in real image analysis rather than hallucination.</w:t>
      </w:r>
    </w:p>
    <w:p>
      <w:pPr>
        <w:pStyle w:val="Heading2"/>
        <w:spacing w:after="120" w:before="260"/>
      </w:pPr>
      <w:r>
        <w:t xml:space="preserve">2.1 High-Level Architecture</w:t>
      </w:r>
    </w:p>
    <w:p>
      <w:pPr>
        <w:spacing w:after="140" w:line="300"/>
      </w:pPr>
      <w:r>
        <w:t xml:space="preserve">The system is composed of five layers: (1) a Presentation/Interaction layer (web or mobile app for text/voice queries and image upload), (2) an Orchestration layer (query router + tool-calling agent), (3) a Perception layer (vision backbone + specialised CV tools: detector, segmenter, change-detector), (4) a Reasoning/Language layer (the fine-tuned VLM that fuses visual features with the text query to produce grounded answers), and (5) a Data &amp; Knowledge layer (RS imagery datasets, geospatial metadata, vector store for retrieval-augmented context).</w:t>
      </w:r>
    </w:p>
    <w:p>
      <w:pPr>
        <w:pStyle w:val="Heading3"/>
        <w:spacing w:after="100" w:before="200"/>
      </w:pPr>
      <w:r>
        <w:t xml:space="preserve">2.2 Layer-wise Responsibilities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3300"/>
      </w:tblGrid>
      <w:tr>
        <w:trPr>
          <w:tblHeader/>
        </w:trPr>
        <w:tc>
          <w:tcPr>
            <w:tcW w:type="dxa" w:w="2000"/>
            <w:shd w:fill="1F4E79" w:val="clear"/>
            <w:tcMar>
              <w:top w:type="dxa" w:w="100"/>
              <w:left w:type="dxa" w:w="120"/>
              <w:bottom w:type="dxa" w:w="100"/>
              <w:right w:type="dxa" w:w="120"/>
            </w:tcMar>
            <w:vAlign w:val="center"/>
          </w:tcPr>
          <w:p>
            <w:pPr>
              <w:jc w:val="left"/>
            </w:pPr>
            <w:r>
              <w:rPr>
                <w:b/>
                <w:bCs/>
                <w:color w:val="FFFFFF"/>
              </w:rPr>
              <w:t xml:space="preserve">Layer</w:t>
            </w:r>
          </w:p>
        </w:tc>
        <w:tc>
          <w:tcPr>
            <w:tcW w:type="dxa" w:w="4700"/>
            <w:shd w:fill="1F4E79" w:val="clear"/>
            <w:tcMar>
              <w:top w:type="dxa" w:w="100"/>
              <w:left w:type="dxa" w:w="120"/>
              <w:bottom w:type="dxa" w:w="100"/>
              <w:right w:type="dxa" w:w="120"/>
            </w:tcMar>
            <w:vAlign w:val="center"/>
          </w:tcPr>
          <w:p>
            <w:pPr>
              <w:jc w:val="left"/>
            </w:pPr>
            <w:r>
              <w:rPr>
                <w:b/>
                <w:bCs/>
                <w:color w:val="FFFFFF"/>
              </w:rPr>
              <w:t xml:space="preserve">Responsibility</w:t>
            </w:r>
          </w:p>
        </w:tc>
        <w:tc>
          <w:tcPr>
            <w:tcW w:type="dxa" w:w="3300"/>
            <w:shd w:fill="1F4E79" w:val="clear"/>
            <w:tcMar>
              <w:top w:type="dxa" w:w="100"/>
              <w:left w:type="dxa" w:w="120"/>
              <w:bottom w:type="dxa" w:w="100"/>
              <w:right w:type="dxa" w:w="120"/>
            </w:tcMar>
            <w:vAlign w:val="center"/>
          </w:tcPr>
          <w:p>
            <w:pPr>
              <w:jc w:val="left"/>
            </w:pPr>
            <w:r>
              <w:rPr>
                <w:b/>
                <w:bCs/>
                <w:color w:val="FFFFFF"/>
              </w:rPr>
              <w:t xml:space="preserve">Key Components</w:t>
            </w:r>
          </w:p>
        </w:tc>
      </w:tr>
      <w:tr>
        <w:tc>
          <w:tcPr>
            <w:tcW w:type="dxa" w:w="2000"/>
            <w:tcMar>
              <w:top w:type="dxa" w:w="100"/>
              <w:left w:type="dxa" w:w="120"/>
              <w:bottom w:type="dxa" w:w="100"/>
              <w:right w:type="dxa" w:w="120"/>
            </w:tcMar>
            <w:vAlign w:val="center"/>
          </w:tcPr>
          <w:p>
            <w:pPr>
              <w:jc w:val="left"/>
            </w:pPr>
            <w:r>
              <w:rPr>
                <w:b w:val="false"/>
                <w:bCs w:val="false"/>
                <w:color w:val="000000"/>
              </w:rPr>
              <w:t xml:space="preserve">Presentation</w:t>
            </w:r>
          </w:p>
        </w:tc>
        <w:tc>
          <w:tcPr>
            <w:tcW w:type="dxa" w:w="4700"/>
            <w:tcMar>
              <w:top w:type="dxa" w:w="100"/>
              <w:left w:type="dxa" w:w="120"/>
              <w:bottom w:type="dxa" w:w="100"/>
              <w:right w:type="dxa" w:w="120"/>
            </w:tcMar>
            <w:vAlign w:val="center"/>
          </w:tcPr>
          <w:p>
            <w:pPr>
              <w:jc w:val="left"/>
            </w:pPr>
            <w:r>
              <w:rPr>
                <w:b w:val="false"/>
                <w:bCs w:val="false"/>
                <w:color w:val="000000"/>
              </w:rPr>
              <w:t xml:space="preserve">Image upload, text/voice query input, map view, result visualisation</w:t>
            </w:r>
          </w:p>
        </w:tc>
        <w:tc>
          <w:tcPr>
            <w:tcW w:type="dxa" w:w="3300"/>
            <w:tcMar>
              <w:top w:type="dxa" w:w="100"/>
              <w:left w:type="dxa" w:w="120"/>
              <w:bottom w:type="dxa" w:w="100"/>
              <w:right w:type="dxa" w:w="120"/>
            </w:tcMar>
            <w:vAlign w:val="center"/>
          </w:tcPr>
          <w:p>
            <w:pPr>
              <w:jc w:val="left"/>
            </w:pPr>
            <w:r>
              <w:rPr>
                <w:b w:val="false"/>
                <w:bCs w:val="false"/>
                <w:color w:val="000000"/>
              </w:rPr>
              <w:t xml:space="preserve">React/Next.js or Streamlit UI, Leaflet/Mapbox map</w:t>
            </w:r>
          </w:p>
        </w:tc>
      </w:tr>
      <w:tr>
        <w:tc>
          <w:tcPr>
            <w:tcW w:type="dxa" w:w="2000"/>
            <w:shd w:fill="F2F2F2" w:val="clear"/>
            <w:tcMar>
              <w:top w:type="dxa" w:w="100"/>
              <w:left w:type="dxa" w:w="120"/>
              <w:bottom w:type="dxa" w:w="100"/>
              <w:right w:type="dxa" w:w="120"/>
            </w:tcMar>
            <w:vAlign w:val="center"/>
          </w:tcPr>
          <w:p>
            <w:pPr>
              <w:jc w:val="left"/>
            </w:pPr>
            <w:r>
              <w:rPr>
                <w:b w:val="false"/>
                <w:bCs w:val="false"/>
                <w:color w:val="000000"/>
              </w:rPr>
              <w:t xml:space="preserve">Orchestration</w:t>
            </w:r>
          </w:p>
        </w:tc>
        <w:tc>
          <w:tcPr>
            <w:tcW w:type="dxa" w:w="4700"/>
            <w:shd w:fill="F2F2F2" w:val="clear"/>
            <w:tcMar>
              <w:top w:type="dxa" w:w="100"/>
              <w:left w:type="dxa" w:w="120"/>
              <w:bottom w:type="dxa" w:w="100"/>
              <w:right w:type="dxa" w:w="120"/>
            </w:tcMar>
            <w:vAlign w:val="center"/>
          </w:tcPr>
          <w:p>
            <w:pPr>
              <w:jc w:val="left"/>
            </w:pPr>
            <w:r>
              <w:rPr>
                <w:b w:val="false"/>
                <w:bCs w:val="false"/>
                <w:color w:val="000000"/>
              </w:rPr>
              <w:t xml:space="preserve">Parse intent, decide which tool(s) to invoke, manage conversation state</w:t>
            </w:r>
          </w:p>
        </w:tc>
        <w:tc>
          <w:tcPr>
            <w:tcW w:type="dxa" w:w="3300"/>
            <w:shd w:fill="F2F2F2" w:val="clear"/>
            <w:tcMar>
              <w:top w:type="dxa" w:w="100"/>
              <w:left w:type="dxa" w:w="120"/>
              <w:bottom w:type="dxa" w:w="100"/>
              <w:right w:type="dxa" w:w="120"/>
            </w:tcMar>
            <w:vAlign w:val="center"/>
          </w:tcPr>
          <w:p>
            <w:pPr>
              <w:jc w:val="left"/>
            </w:pPr>
            <w:r>
              <w:rPr>
                <w:b w:val="false"/>
                <w:bCs w:val="false"/>
                <w:color w:val="000000"/>
              </w:rPr>
              <w:t xml:space="preserve">LLM-based agent/router, session/context manager</w:t>
            </w:r>
          </w:p>
        </w:tc>
      </w:tr>
      <w:tr>
        <w:tc>
          <w:tcPr>
            <w:tcW w:type="dxa" w:w="2000"/>
            <w:tcMar>
              <w:top w:type="dxa" w:w="100"/>
              <w:left w:type="dxa" w:w="120"/>
              <w:bottom w:type="dxa" w:w="100"/>
              <w:right w:type="dxa" w:w="120"/>
            </w:tcMar>
            <w:vAlign w:val="center"/>
          </w:tcPr>
          <w:p>
            <w:pPr>
              <w:jc w:val="left"/>
            </w:pPr>
            <w:r>
              <w:rPr>
                <w:b w:val="false"/>
                <w:bCs w:val="false"/>
                <w:color w:val="000000"/>
              </w:rPr>
              <w:t xml:space="preserve">Perception (CV)</w:t>
            </w:r>
          </w:p>
        </w:tc>
        <w:tc>
          <w:tcPr>
            <w:tcW w:type="dxa" w:w="4700"/>
            <w:tcMar>
              <w:top w:type="dxa" w:w="100"/>
              <w:left w:type="dxa" w:w="120"/>
              <w:bottom w:type="dxa" w:w="100"/>
              <w:right w:type="dxa" w:w="120"/>
            </w:tcMar>
            <w:vAlign w:val="center"/>
          </w:tcPr>
          <w:p>
            <w:pPr>
              <w:jc w:val="left"/>
            </w:pPr>
            <w:r>
              <w:rPr>
                <w:b w:val="false"/>
                <w:bCs w:val="false"/>
                <w:color w:val="000000"/>
              </w:rPr>
              <w:t xml:space="preserve">Feature extraction, object detection, segmentation, change detection</w:t>
            </w:r>
          </w:p>
        </w:tc>
        <w:tc>
          <w:tcPr>
            <w:tcW w:type="dxa" w:w="3300"/>
            <w:tcMar>
              <w:top w:type="dxa" w:w="100"/>
              <w:left w:type="dxa" w:w="120"/>
              <w:bottom w:type="dxa" w:w="100"/>
              <w:right w:type="dxa" w:w="120"/>
            </w:tcMar>
            <w:vAlign w:val="center"/>
          </w:tcPr>
          <w:p>
            <w:pPr>
              <w:jc w:val="left"/>
            </w:pPr>
            <w:r>
              <w:rPr>
                <w:b w:val="false"/>
                <w:bCs w:val="false"/>
                <w:color w:val="000000"/>
              </w:rPr>
              <w:t xml:space="preserve">CNN/ViT backbone (CLIP-RSICD, ResNet), YOLOv8/DETR, Siamese CD network</w:t>
            </w:r>
          </w:p>
        </w:tc>
      </w:tr>
      <w:tr>
        <w:tc>
          <w:tcPr>
            <w:tcW w:type="dxa" w:w="2000"/>
            <w:shd w:fill="F2F2F2" w:val="clear"/>
            <w:tcMar>
              <w:top w:type="dxa" w:w="100"/>
              <w:left w:type="dxa" w:w="120"/>
              <w:bottom w:type="dxa" w:w="100"/>
              <w:right w:type="dxa" w:w="120"/>
            </w:tcMar>
            <w:vAlign w:val="center"/>
          </w:tcPr>
          <w:p>
            <w:pPr>
              <w:jc w:val="left"/>
            </w:pPr>
            <w:r>
              <w:rPr>
                <w:b w:val="false"/>
                <w:bCs w:val="false"/>
                <w:color w:val="000000"/>
              </w:rPr>
              <w:t xml:space="preserve">Reasoning (VLM)</w:t>
            </w:r>
          </w:p>
        </w:tc>
        <w:tc>
          <w:tcPr>
            <w:tcW w:type="dxa" w:w="4700"/>
            <w:shd w:fill="F2F2F2" w:val="clear"/>
            <w:tcMar>
              <w:top w:type="dxa" w:w="100"/>
              <w:left w:type="dxa" w:w="120"/>
              <w:bottom w:type="dxa" w:w="100"/>
              <w:right w:type="dxa" w:w="120"/>
            </w:tcMar>
            <w:vAlign w:val="center"/>
          </w:tcPr>
          <w:p>
            <w:pPr>
              <w:jc w:val="left"/>
            </w:pPr>
            <w:r>
              <w:rPr>
                <w:b w:val="false"/>
                <w:bCs w:val="false"/>
                <w:color w:val="000000"/>
              </w:rPr>
              <w:t xml:space="preserve">Fuse image + text, generate grounded natural-language answer</w:t>
            </w:r>
          </w:p>
        </w:tc>
        <w:tc>
          <w:tcPr>
            <w:tcW w:type="dxa" w:w="3300"/>
            <w:shd w:fill="F2F2F2" w:val="clear"/>
            <w:tcMar>
              <w:top w:type="dxa" w:w="100"/>
              <w:left w:type="dxa" w:w="120"/>
              <w:bottom w:type="dxa" w:w="100"/>
              <w:right w:type="dxa" w:w="120"/>
            </w:tcMar>
            <w:vAlign w:val="center"/>
          </w:tcPr>
          <w:p>
            <w:pPr>
              <w:jc w:val="left"/>
            </w:pPr>
            <w:r>
              <w:rPr>
                <w:b w:val="false"/>
                <w:bCs w:val="false"/>
                <w:color w:val="000000"/>
              </w:rPr>
              <w:t xml:space="preserve">Fine-tuned LLaVA/GeoChat-style model (LoRA/QLoRA adapted)</w:t>
            </w:r>
          </w:p>
        </w:tc>
      </w:tr>
      <w:tr>
        <w:tc>
          <w:tcPr>
            <w:tcW w:type="dxa" w:w="2000"/>
            <w:tcMar>
              <w:top w:type="dxa" w:w="100"/>
              <w:left w:type="dxa" w:w="120"/>
              <w:bottom w:type="dxa" w:w="100"/>
              <w:right w:type="dxa" w:w="120"/>
            </w:tcMar>
            <w:vAlign w:val="center"/>
          </w:tcPr>
          <w:p>
            <w:pPr>
              <w:jc w:val="left"/>
            </w:pPr>
            <w:r>
              <w:rPr>
                <w:b w:val="false"/>
                <w:bCs w:val="false"/>
                <w:color w:val="000000"/>
              </w:rPr>
              <w:t xml:space="preserve">Data &amp; Knowledge</w:t>
            </w:r>
          </w:p>
        </w:tc>
        <w:tc>
          <w:tcPr>
            <w:tcW w:type="dxa" w:w="4700"/>
            <w:tcMar>
              <w:top w:type="dxa" w:w="100"/>
              <w:left w:type="dxa" w:w="120"/>
              <w:bottom w:type="dxa" w:w="100"/>
              <w:right w:type="dxa" w:w="120"/>
            </w:tcMar>
            <w:vAlign w:val="center"/>
          </w:tcPr>
          <w:p>
            <w:pPr>
              <w:jc w:val="left"/>
            </w:pPr>
            <w:r>
              <w:rPr>
                <w:b w:val="false"/>
                <w:bCs w:val="false"/>
                <w:color w:val="000000"/>
              </w:rPr>
              <w:t xml:space="preserve">Store imagery, embeddings, geospatial metadata, past query logs</w:t>
            </w:r>
          </w:p>
        </w:tc>
        <w:tc>
          <w:tcPr>
            <w:tcW w:type="dxa" w:w="3300"/>
            <w:tcMar>
              <w:top w:type="dxa" w:w="100"/>
              <w:left w:type="dxa" w:w="120"/>
              <w:bottom w:type="dxa" w:w="100"/>
              <w:right w:type="dxa" w:w="120"/>
            </w:tcMar>
            <w:vAlign w:val="center"/>
          </w:tcPr>
          <w:p>
            <w:pPr>
              <w:jc w:val="left"/>
            </w:pPr>
            <w:r>
              <w:rPr>
                <w:b w:val="false"/>
                <w:bCs w:val="false"/>
                <w:color w:val="000000"/>
              </w:rPr>
              <w:t xml:space="preserve">PostgreSQL/PostGIS, vector DB (FAISS/Milvus), object storage (S3/MinIO)</w:t>
            </w:r>
          </w:p>
        </w:tc>
      </w:tr>
    </w:tbl>
    <w:p>
      <w:pPr>
        <w:pStyle w:val="Heading1"/>
        <w:spacing w:after="160" w:before="360"/>
      </w:pPr>
      <w:r>
        <w:t xml:space="preserve">3. End-to-End Workflow</w:t>
      </w:r>
    </w:p>
    <w:p>
      <w:pPr>
        <w:spacing w:after="140" w:line="300"/>
      </w:pPr>
      <w:r>
        <w:t xml:space="preserve">The functional pipeline that a single user query passes through:</w:t>
      </w:r>
    </w:p>
    <w:p>
      <w:pPr>
        <w:pStyle w:val="ListParagraph"/>
        <w:numPr>
          <w:ilvl w:val="0"/>
          <w:numId w:val="3"/>
        </w:numPr>
        <w:spacing w:after="90" w:line="290"/>
      </w:pPr>
      <w:r>
        <w:t xml:space="preserve">User uploads/selects a remote sensing image (or picks a location on the map, which fetches the corresponding satellite tile) and types/speaks a query in natural language.</w:t>
      </w:r>
    </w:p>
    <w:p>
      <w:pPr>
        <w:pStyle w:val="ListParagraph"/>
        <w:numPr>
          <w:ilvl w:val="0"/>
          <w:numId w:val="3"/>
        </w:numPr>
        <w:spacing w:after="90" w:line="290"/>
      </w:pPr>
      <w:r>
        <w:t xml:space="preserve">Pre-processing module normalises the image — resizing, tiling for very high resolution scenes, band selection for multispectral data, and geo-referencing metadata extraction (lat/long, acquisition date, sensor type).</w:t>
      </w:r>
    </w:p>
    <w:p>
      <w:pPr>
        <w:pStyle w:val="ListParagraph"/>
        <w:numPr>
          <w:ilvl w:val="0"/>
          <w:numId w:val="3"/>
        </w:numPr>
        <w:spacing w:after="90" w:line="290"/>
      </w:pPr>
      <w:r>
        <w:t xml:space="preserve">The Orchestration Agent parses the query intent (captioning / VQA / detection / classification / change-detection / comparison) using the language model's own reasoning, optionally consulting a small intent-classifier for speed.</w:t>
      </w:r>
    </w:p>
    <w:p>
      <w:pPr>
        <w:pStyle w:val="ListParagraph"/>
        <w:numPr>
          <w:ilvl w:val="0"/>
          <w:numId w:val="3"/>
        </w:numPr>
        <w:spacing w:after="90" w:line="290"/>
      </w:pPr>
      <w:r>
        <w:t xml:space="preserve">Based on intent, the Perception layer runs the relevant CV tool(s): the vision encoder always extracts global + patch-level embeddings; object detector runs if counting/localization is needed; the change-detection network runs if two temporal images are supplied.</w:t>
      </w:r>
    </w:p>
    <w:p>
      <w:pPr>
        <w:pStyle w:val="ListParagraph"/>
        <w:numPr>
          <w:ilvl w:val="0"/>
          <w:numId w:val="3"/>
        </w:numPr>
        <w:spacing w:after="90" w:line="290"/>
      </w:pPr>
      <w:r>
        <w:t xml:space="preserve">The visual embeddings/tool outputs (detections, masks, statistics) are passed together with the original text query into the fine-tuned Vision-Language Model, which reasons over both modalities to compose a final natural-language answer.</w:t>
      </w:r>
    </w:p>
    <w:p>
      <w:pPr>
        <w:pStyle w:val="ListParagraph"/>
        <w:numPr>
          <w:ilvl w:val="0"/>
          <w:numId w:val="3"/>
        </w:numPr>
        <w:spacing w:after="90" w:line="290"/>
      </w:pPr>
      <w:r>
        <w:t xml:space="preserve">If the query implies a location reference ("this area", "the northern part"), the model also returns bounding boxes/segmentation masks/coordinates so the UI can overlay the answer visually on the image.</w:t>
      </w:r>
    </w:p>
    <w:p>
      <w:pPr>
        <w:pStyle w:val="ListParagraph"/>
        <w:numPr>
          <w:ilvl w:val="0"/>
          <w:numId w:val="3"/>
        </w:numPr>
        <w:spacing w:after="90" w:line="290"/>
      </w:pPr>
      <w:r>
        <w:t xml:space="preserve">The response (text + optional visual overlay + confidence score) is rendered back to the user; the conversation state (image, prior Q&amp;A) is retained so follow-up questions can be asked without re-uploading the image.</w:t>
      </w:r>
    </w:p>
    <w:p>
      <w:pPr>
        <w:pStyle w:val="ListParagraph"/>
        <w:numPr>
          <w:ilvl w:val="0"/>
          <w:numId w:val="3"/>
        </w:numPr>
        <w:spacing w:after="90" w:line="290"/>
      </w:pPr>
      <w:r>
        <w:t xml:space="preserve">All interactions are logged (query, image id, model output, latency, user feedback) for continuous evaluation and future fine-tuning.</w:t>
      </w:r>
    </w:p>
    <w:p>
      <w:pPr>
        <w:spacing w:after="100"/>
      </w:pPr>
    </w:p>
    <w:p>
      <w:pPr>
        <w:spacing w:after="140" w:line="300"/>
      </w:pPr>
      <w:r>
        <w:rPr>
          <w:i/>
          <w:iCs/>
          <w:color w:val="555555"/>
        </w:rPr>
        <w:t xml:space="preserve">Note: A visual flow diagram of this pipeline (Image/Query → Pre-processing → Orchestrator → Perception Tools + VLM Reasoning → Grounded Answer → UI) should be prepared as a slide/poster during the hackathon presentation.</w:t>
      </w:r>
    </w:p>
    <w:p>
      <w:pPr>
        <w:pStyle w:val="Heading1"/>
        <w:spacing w:after="160" w:before="360"/>
      </w:pPr>
      <w:r>
        <w:t xml:space="preserve">4. Core Techniques &amp; Technical Approach</w:t>
      </w:r>
    </w:p>
    <w:p>
      <w:pPr>
        <w:pStyle w:val="Heading2"/>
        <w:spacing w:after="120" w:before="260"/>
      </w:pPr>
      <w:r>
        <w:t xml:space="preserve">4.1 Base Vision-Language Model Selection</w:t>
      </w:r>
    </w:p>
    <w:p>
      <w:pPr>
        <w:spacing w:after="140" w:line="300"/>
      </w:pPr>
      <w:r>
        <w:t xml:space="preserve">Rather than training from scratch, adapt an existing open-source multimodal LLM to the remote-sensing domain. Recommended base architectures, in increasing order of resource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800"/>
      </w:tblGrid>
      <w:tr>
        <w:trPr>
          <w:tblHeader/>
        </w:trPr>
        <w:tc>
          <w:tcPr>
            <w:tcW w:type="dxa" w:w="2600"/>
            <w:shd w:fill="1F4E79" w:val="clear"/>
            <w:tcMar>
              <w:top w:type="dxa" w:w="100"/>
              <w:left w:type="dxa" w:w="120"/>
              <w:bottom w:type="dxa" w:w="100"/>
              <w:right w:type="dxa" w:w="120"/>
            </w:tcMar>
            <w:vAlign w:val="center"/>
          </w:tcPr>
          <w:p>
            <w:pPr>
              <w:jc w:val="left"/>
            </w:pPr>
            <w:r>
              <w:rPr>
                <w:b/>
                <w:bCs/>
                <w:color w:val="FFFFFF"/>
              </w:rPr>
              <w:t xml:space="preserve">Base Model</w:t>
            </w:r>
          </w:p>
        </w:tc>
        <w:tc>
          <w:tcPr>
            <w:tcW w:type="dxa" w:w="2600"/>
            <w:shd w:fill="1F4E79" w:val="clear"/>
            <w:tcMar>
              <w:top w:type="dxa" w:w="100"/>
              <w:left w:type="dxa" w:w="120"/>
              <w:bottom w:type="dxa" w:w="100"/>
              <w:right w:type="dxa" w:w="120"/>
            </w:tcMar>
            <w:vAlign w:val="center"/>
          </w:tcPr>
          <w:p>
            <w:pPr>
              <w:jc w:val="left"/>
            </w:pPr>
            <w:r>
              <w:rPr>
                <w:b/>
                <w:bCs/>
                <w:color w:val="FFFFFF"/>
              </w:rPr>
              <w:t xml:space="preserve">Type</w:t>
            </w:r>
          </w:p>
        </w:tc>
        <w:tc>
          <w:tcPr>
            <w:tcW w:type="dxa" w:w="4800"/>
            <w:shd w:fill="1F4E79" w:val="clear"/>
            <w:tcMar>
              <w:top w:type="dxa" w:w="100"/>
              <w:left w:type="dxa" w:w="120"/>
              <w:bottom w:type="dxa" w:w="100"/>
              <w:right w:type="dxa" w:w="120"/>
            </w:tcMar>
            <w:vAlign w:val="center"/>
          </w:tcPr>
          <w:p>
            <w:pPr>
              <w:jc w:val="left"/>
            </w:pPr>
            <w:r>
              <w:rPr>
                <w:b/>
                <w:bCs/>
                <w:color w:val="FFFFFF"/>
              </w:rPr>
              <w:t xml:space="preserve">Why suitable</w:t>
            </w:r>
          </w:p>
        </w:tc>
      </w:tr>
      <w:tr>
        <w:tc>
          <w:tcPr>
            <w:tcW w:type="dxa" w:w="2600"/>
            <w:tcMar>
              <w:top w:type="dxa" w:w="100"/>
              <w:left w:type="dxa" w:w="120"/>
              <w:bottom w:type="dxa" w:w="100"/>
              <w:right w:type="dxa" w:w="120"/>
            </w:tcMar>
            <w:vAlign w:val="center"/>
          </w:tcPr>
          <w:p>
            <w:pPr>
              <w:jc w:val="left"/>
            </w:pPr>
            <w:r>
              <w:rPr>
                <w:b w:val="false"/>
                <w:bCs w:val="false"/>
                <w:color w:val="000000"/>
              </w:rPr>
              <w:t xml:space="preserve">CLIP / RemoteCLIP / GeoCLIP</w:t>
            </w:r>
          </w:p>
        </w:tc>
        <w:tc>
          <w:tcPr>
            <w:tcW w:type="dxa" w:w="2600"/>
            <w:tcMar>
              <w:top w:type="dxa" w:w="100"/>
              <w:left w:type="dxa" w:w="120"/>
              <w:bottom w:type="dxa" w:w="100"/>
              <w:right w:type="dxa" w:w="120"/>
            </w:tcMar>
            <w:vAlign w:val="center"/>
          </w:tcPr>
          <w:p>
            <w:pPr>
              <w:jc w:val="left"/>
            </w:pPr>
            <w:r>
              <w:rPr>
                <w:b w:val="false"/>
                <w:bCs w:val="false"/>
                <w:color w:val="000000"/>
              </w:rPr>
              <w:t xml:space="preserve">Vision-language contrastive encoder</w:t>
            </w:r>
          </w:p>
        </w:tc>
        <w:tc>
          <w:tcPr>
            <w:tcW w:type="dxa" w:w="4800"/>
            <w:tcMar>
              <w:top w:type="dxa" w:w="100"/>
              <w:left w:type="dxa" w:w="120"/>
              <w:bottom w:type="dxa" w:w="100"/>
              <w:right w:type="dxa" w:w="120"/>
            </w:tcMar>
            <w:vAlign w:val="center"/>
          </w:tcPr>
          <w:p>
            <w:pPr>
              <w:jc w:val="left"/>
            </w:pPr>
            <w:r>
              <w:rPr>
                <w:b w:val="false"/>
                <w:bCs w:val="false"/>
                <w:color w:val="000000"/>
              </w:rPr>
              <w:t xml:space="preserve">Strong zero-shot RS image-text alignment; good as the vision backbone / retrieval encoder</w:t>
            </w:r>
          </w:p>
        </w:tc>
      </w:tr>
      <w:tr>
        <w:tc>
          <w:tcPr>
            <w:tcW w:type="dxa" w:w="2600"/>
            <w:shd w:fill="F2F2F2" w:val="clear"/>
            <w:tcMar>
              <w:top w:type="dxa" w:w="100"/>
              <w:left w:type="dxa" w:w="120"/>
              <w:bottom w:type="dxa" w:w="100"/>
              <w:right w:type="dxa" w:w="120"/>
            </w:tcMar>
            <w:vAlign w:val="center"/>
          </w:tcPr>
          <w:p>
            <w:pPr>
              <w:jc w:val="left"/>
            </w:pPr>
            <w:r>
              <w:rPr>
                <w:b w:val="false"/>
                <w:bCs w:val="false"/>
                <w:color w:val="000000"/>
              </w:rPr>
              <w:t xml:space="preserve">LLaVA-1.5 / LLaVA-OneVision</w:t>
            </w:r>
          </w:p>
        </w:tc>
        <w:tc>
          <w:tcPr>
            <w:tcW w:type="dxa" w:w="2600"/>
            <w:shd w:fill="F2F2F2" w:val="clear"/>
            <w:tcMar>
              <w:top w:type="dxa" w:w="100"/>
              <w:left w:type="dxa" w:w="120"/>
              <w:bottom w:type="dxa" w:w="100"/>
              <w:right w:type="dxa" w:w="120"/>
            </w:tcMar>
            <w:vAlign w:val="center"/>
          </w:tcPr>
          <w:p>
            <w:pPr>
              <w:jc w:val="left"/>
            </w:pPr>
            <w:r>
              <w:rPr>
                <w:b w:val="false"/>
                <w:bCs w:val="false"/>
                <w:color w:val="000000"/>
              </w:rPr>
              <w:t xml:space="preserve">General-purpose open VLM</w:t>
            </w:r>
          </w:p>
        </w:tc>
        <w:tc>
          <w:tcPr>
            <w:tcW w:type="dxa" w:w="4800"/>
            <w:shd w:fill="F2F2F2" w:val="clear"/>
            <w:tcMar>
              <w:top w:type="dxa" w:w="100"/>
              <w:left w:type="dxa" w:w="120"/>
              <w:bottom w:type="dxa" w:w="100"/>
              <w:right w:type="dxa" w:w="120"/>
            </w:tcMar>
            <w:vAlign w:val="center"/>
          </w:tcPr>
          <w:p>
            <w:pPr>
              <w:jc w:val="left"/>
            </w:pPr>
            <w:r>
              <w:rPr>
                <w:b w:val="false"/>
                <w:bCs w:val="false"/>
                <w:color w:val="000000"/>
              </w:rPr>
              <w:t xml:space="preserve">Well-documented instruction-tuning recipe; base architecture used by GeoChat/RS-LLaVA</w:t>
            </w:r>
          </w:p>
        </w:tc>
      </w:tr>
      <w:tr>
        <w:tc>
          <w:tcPr>
            <w:tcW w:type="dxa" w:w="2600"/>
            <w:tcMar>
              <w:top w:type="dxa" w:w="100"/>
              <w:left w:type="dxa" w:w="120"/>
              <w:bottom w:type="dxa" w:w="100"/>
              <w:right w:type="dxa" w:w="120"/>
            </w:tcMar>
            <w:vAlign w:val="center"/>
          </w:tcPr>
          <w:p>
            <w:pPr>
              <w:jc w:val="left"/>
            </w:pPr>
            <w:r>
              <w:rPr>
                <w:b w:val="false"/>
                <w:bCs w:val="false"/>
                <w:color w:val="000000"/>
              </w:rPr>
              <w:t xml:space="preserve">Qwen2-VL / Qwen2.5-VL</w:t>
            </w:r>
          </w:p>
        </w:tc>
        <w:tc>
          <w:tcPr>
            <w:tcW w:type="dxa" w:w="2600"/>
            <w:tcMar>
              <w:top w:type="dxa" w:w="100"/>
              <w:left w:type="dxa" w:w="120"/>
              <w:bottom w:type="dxa" w:w="100"/>
              <w:right w:type="dxa" w:w="120"/>
            </w:tcMar>
            <w:vAlign w:val="center"/>
          </w:tcPr>
          <w:p>
            <w:pPr>
              <w:jc w:val="left"/>
            </w:pPr>
            <w:r>
              <w:rPr>
                <w:b w:val="false"/>
                <w:bCs w:val="false"/>
                <w:color w:val="000000"/>
              </w:rPr>
              <w:t xml:space="preserve">Open multimodal LLM</w:t>
            </w:r>
          </w:p>
        </w:tc>
        <w:tc>
          <w:tcPr>
            <w:tcW w:type="dxa" w:w="4800"/>
            <w:tcMar>
              <w:top w:type="dxa" w:w="100"/>
              <w:left w:type="dxa" w:w="120"/>
              <w:bottom w:type="dxa" w:w="100"/>
              <w:right w:type="dxa" w:w="120"/>
            </w:tcMar>
            <w:vAlign w:val="center"/>
          </w:tcPr>
          <w:p>
            <w:pPr>
              <w:jc w:val="left"/>
            </w:pPr>
            <w:r>
              <w:rPr>
                <w:b w:val="false"/>
                <w:bCs w:val="false"/>
                <w:color w:val="000000"/>
              </w:rPr>
              <w:t xml:space="preserve">Native high-resolution image handling and grounding/bounding-box output support</w:t>
            </w:r>
          </w:p>
        </w:tc>
      </w:tr>
      <w:tr>
        <w:tc>
          <w:tcPr>
            <w:tcW w:type="dxa" w:w="2600"/>
            <w:shd w:fill="F2F2F2" w:val="clear"/>
            <w:tcMar>
              <w:top w:type="dxa" w:w="100"/>
              <w:left w:type="dxa" w:w="120"/>
              <w:bottom w:type="dxa" w:w="100"/>
              <w:right w:type="dxa" w:w="120"/>
            </w:tcMar>
            <w:vAlign w:val="center"/>
          </w:tcPr>
          <w:p>
            <w:pPr>
              <w:jc w:val="left"/>
            </w:pPr>
            <w:r>
              <w:rPr>
                <w:b w:val="false"/>
                <w:bCs w:val="false"/>
                <w:color w:val="000000"/>
              </w:rPr>
              <w:t xml:space="preserve">GeoChat / RS-LLaVA (reference)</w:t>
            </w:r>
          </w:p>
        </w:tc>
        <w:tc>
          <w:tcPr>
            <w:tcW w:type="dxa" w:w="2600"/>
            <w:shd w:fill="F2F2F2" w:val="clear"/>
            <w:tcMar>
              <w:top w:type="dxa" w:w="100"/>
              <w:left w:type="dxa" w:w="120"/>
              <w:bottom w:type="dxa" w:w="100"/>
              <w:right w:type="dxa" w:w="120"/>
            </w:tcMar>
            <w:vAlign w:val="center"/>
          </w:tcPr>
          <w:p>
            <w:pPr>
              <w:jc w:val="left"/>
            </w:pPr>
            <w:r>
              <w:rPr>
                <w:b w:val="false"/>
                <w:bCs w:val="false"/>
                <w:color w:val="000000"/>
              </w:rPr>
              <w:t xml:space="preserve">RS-domain fine-tuned VLM</w:t>
            </w:r>
          </w:p>
        </w:tc>
        <w:tc>
          <w:tcPr>
            <w:tcW w:type="dxa" w:w="4800"/>
            <w:shd w:fill="F2F2F2" w:val="clear"/>
            <w:tcMar>
              <w:top w:type="dxa" w:w="100"/>
              <w:left w:type="dxa" w:w="120"/>
              <w:bottom w:type="dxa" w:w="100"/>
              <w:right w:type="dxa" w:w="120"/>
            </w:tcMar>
            <w:vAlign w:val="center"/>
          </w:tcPr>
          <w:p>
            <w:pPr>
              <w:jc w:val="left"/>
            </w:pPr>
            <w:r>
              <w:rPr>
                <w:b w:val="false"/>
                <w:bCs w:val="false"/>
                <w:color w:val="000000"/>
              </w:rPr>
              <w:t xml:space="preserve">Directly reusable methodology: LoRA fine-tuning of LLaVA on RS instruction data with region-level grounding</w:t>
            </w:r>
          </w:p>
        </w:tc>
      </w:tr>
    </w:tbl>
    <w:p>
      <w:pPr>
        <w:pStyle w:val="Heading2"/>
        <w:spacing w:after="120" w:before="260"/>
      </w:pPr>
      <w:r>
        <w:t xml:space="preserve">4.2 Domain Adaptation Strategy — Instruction Fine-Tuning</w:t>
      </w:r>
    </w:p>
    <w:p>
      <w:pPr>
        <w:pStyle w:val="ListParagraph"/>
        <w:numPr>
          <w:ilvl w:val="0"/>
          <w:numId w:val="2"/>
        </w:numPr>
        <w:spacing w:after="90" w:line="290"/>
      </w:pPr>
      <w:r>
        <w:t xml:space="preserve">Freeze the base LLM's lower layers and the vision encoder; fine-tune only a lightweight adapter using LoRA/QLoRA — this drastically reduces GPU/VRAM and training time, feasible on 1–2 consumer GPUs (as demonstrated by GeoChat and RS-LLaVA).</w:t>
      </w:r>
    </w:p>
    <w:p>
      <w:pPr>
        <w:pStyle w:val="ListParagraph"/>
        <w:numPr>
          <w:ilvl w:val="0"/>
          <w:numId w:val="2"/>
        </w:numPr>
        <w:spacing w:after="90" w:line="290"/>
      </w:pPr>
      <w:r>
        <w:t xml:space="preserve">Build/curate an RS Instruction Dataset in the standard (image, question, answer) triplet format covering captioning, VQA, classification and grounding — generated by converting existing labelled RS datasets into conversational form (rule-based templates + LLM-assisted paraphrasing).</w:t>
      </w:r>
    </w:p>
    <w:p>
      <w:pPr>
        <w:pStyle w:val="ListParagraph"/>
        <w:numPr>
          <w:ilvl w:val="0"/>
          <w:numId w:val="2"/>
        </w:numPr>
        <w:spacing w:after="90" w:line="290"/>
      </w:pPr>
      <w:r>
        <w:t xml:space="preserve">Multi-task training: mix captioning, VQA, scene-classification and grounding examples in the same fine-tuning run so the model generalises across query types instead of overfitting to one task.</w:t>
      </w:r>
    </w:p>
    <w:p>
      <w:pPr>
        <w:pStyle w:val="ListParagraph"/>
        <w:numPr>
          <w:ilvl w:val="0"/>
          <w:numId w:val="2"/>
        </w:numPr>
        <w:spacing w:after="90" w:line="290"/>
      </w:pPr>
      <w:r>
        <w:t xml:space="preserve">Use a projection/adapter module (MLP or Q-Former style) to align RS-specific visual embeddings (which differ significantly from natural-image statistics: top-down view, small dense objects, varying GSD/resolution) with the LLM's token embedding space.</w:t>
      </w:r>
    </w:p>
    <w:p>
      <w:pPr>
        <w:pStyle w:val="Heading2"/>
        <w:spacing w:after="120" w:before="260"/>
      </w:pPr>
      <w:r>
        <w:t xml:space="preserve">4.3 Supporting Computer-Vision Tools (Tool-Calling / Agentic Layer)</w:t>
      </w:r>
    </w:p>
    <w:p>
      <w:pPr>
        <w:spacing w:after="140" w:line="300"/>
      </w:pPr>
      <w:r>
        <w:t xml:space="preserve">To reduce hallucination and improve numeric precision (e.g., exact object counts), the VLM should not rely purely on its own generation — it should call deterministic CV tools and ground its final answer in their outputs: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00"/>
      </w:tblGrid>
      <w:tr>
        <w:trPr>
          <w:tblHeader/>
        </w:trPr>
        <w:tc>
          <w:tcPr>
            <w:tcW w:type="dxa" w:w="2200"/>
            <w:shd w:fill="1F4E79" w:val="clear"/>
            <w:tcMar>
              <w:top w:type="dxa" w:w="100"/>
              <w:left w:type="dxa" w:w="120"/>
              <w:bottom w:type="dxa" w:w="100"/>
              <w:right w:type="dxa" w:w="120"/>
            </w:tcMar>
            <w:vAlign w:val="center"/>
          </w:tcPr>
          <w:p>
            <w:pPr>
              <w:jc w:val="left"/>
            </w:pPr>
            <w:r>
              <w:rPr>
                <w:b/>
                <w:bCs/>
                <w:color w:val="FFFFFF"/>
              </w:rPr>
              <w:t xml:space="preserve">Tool</w:t>
            </w:r>
          </w:p>
        </w:tc>
        <w:tc>
          <w:tcPr>
            <w:tcW w:type="dxa" w:w="3600"/>
            <w:shd w:fill="1F4E79" w:val="clear"/>
            <w:tcMar>
              <w:top w:type="dxa" w:w="100"/>
              <w:left w:type="dxa" w:w="120"/>
              <w:bottom w:type="dxa" w:w="100"/>
              <w:right w:type="dxa" w:w="120"/>
            </w:tcMar>
            <w:vAlign w:val="center"/>
          </w:tcPr>
          <w:p>
            <w:pPr>
              <w:jc w:val="left"/>
            </w:pPr>
            <w:r>
              <w:rPr>
                <w:b/>
                <w:bCs/>
                <w:color w:val="FFFFFF"/>
              </w:rPr>
              <w:t xml:space="preserve">Technique</w:t>
            </w:r>
          </w:p>
        </w:tc>
        <w:tc>
          <w:tcPr>
            <w:tcW w:type="dxa" w:w="4200"/>
            <w:shd w:fill="1F4E79" w:val="clear"/>
            <w:tcMar>
              <w:top w:type="dxa" w:w="100"/>
              <w:left w:type="dxa" w:w="120"/>
              <w:bottom w:type="dxa" w:w="100"/>
              <w:right w:type="dxa" w:w="120"/>
            </w:tcMar>
            <w:vAlign w:val="center"/>
          </w:tcPr>
          <w:p>
            <w:pPr>
              <w:jc w:val="left"/>
            </w:pPr>
            <w:r>
              <w:rPr>
                <w:b/>
                <w:bCs/>
                <w:color w:val="FFFFFF"/>
              </w:rPr>
              <w:t xml:space="preserve">Used for</w:t>
            </w:r>
          </w:p>
        </w:tc>
      </w:tr>
      <w:tr>
        <w:tc>
          <w:tcPr>
            <w:tcW w:type="dxa" w:w="2200"/>
            <w:tcMar>
              <w:top w:type="dxa" w:w="100"/>
              <w:left w:type="dxa" w:w="120"/>
              <w:bottom w:type="dxa" w:w="100"/>
              <w:right w:type="dxa" w:w="120"/>
            </w:tcMar>
            <w:vAlign w:val="center"/>
          </w:tcPr>
          <w:p>
            <w:pPr>
              <w:jc w:val="left"/>
            </w:pPr>
            <w:r>
              <w:rPr>
                <w:b w:val="false"/>
                <w:bCs w:val="false"/>
                <w:color w:val="000000"/>
              </w:rPr>
              <w:t xml:space="preserve">Object Detector</w:t>
            </w:r>
          </w:p>
        </w:tc>
        <w:tc>
          <w:tcPr>
            <w:tcW w:type="dxa" w:w="3600"/>
            <w:tcMar>
              <w:top w:type="dxa" w:w="100"/>
              <w:left w:type="dxa" w:w="120"/>
              <w:bottom w:type="dxa" w:w="100"/>
              <w:right w:type="dxa" w:w="120"/>
            </w:tcMar>
            <w:vAlign w:val="center"/>
          </w:tcPr>
          <w:p>
            <w:pPr>
              <w:jc w:val="left"/>
            </w:pPr>
            <w:r>
              <w:rPr>
                <w:b w:val="false"/>
                <w:bCs w:val="false"/>
                <w:color w:val="000000"/>
              </w:rPr>
              <w:t xml:space="preserve">YOLOv8 / Faster R-CNN / DETR fine-tuned on DOTA or NWPU VHR-10</w:t>
            </w:r>
          </w:p>
        </w:tc>
        <w:tc>
          <w:tcPr>
            <w:tcW w:type="dxa" w:w="4200"/>
            <w:tcMar>
              <w:top w:type="dxa" w:w="100"/>
              <w:left w:type="dxa" w:w="120"/>
              <w:bottom w:type="dxa" w:w="100"/>
              <w:right w:type="dxa" w:w="120"/>
            </w:tcMar>
            <w:vAlign w:val="center"/>
          </w:tcPr>
          <w:p>
            <w:pPr>
              <w:jc w:val="left"/>
            </w:pPr>
            <w:r>
              <w:rPr>
                <w:b w:val="false"/>
                <w:bCs w:val="false"/>
                <w:color w:val="000000"/>
              </w:rPr>
              <w:t xml:space="preserve">Counting &amp; localizing ships, vehicles, aircraft, buildings</w:t>
            </w:r>
          </w:p>
        </w:tc>
      </w:tr>
      <w:tr>
        <w:tc>
          <w:tcPr>
            <w:tcW w:type="dxa" w:w="2200"/>
            <w:shd w:fill="F2F2F2" w:val="clear"/>
            <w:tcMar>
              <w:top w:type="dxa" w:w="100"/>
              <w:left w:type="dxa" w:w="120"/>
              <w:bottom w:type="dxa" w:w="100"/>
              <w:right w:type="dxa" w:w="120"/>
            </w:tcMar>
            <w:vAlign w:val="center"/>
          </w:tcPr>
          <w:p>
            <w:pPr>
              <w:jc w:val="left"/>
            </w:pPr>
            <w:r>
              <w:rPr>
                <w:b w:val="false"/>
                <w:bCs w:val="false"/>
                <w:color w:val="000000"/>
              </w:rPr>
              <w:t xml:space="preserve">Semantic Segmentation</w:t>
            </w:r>
          </w:p>
        </w:tc>
        <w:tc>
          <w:tcPr>
            <w:tcW w:type="dxa" w:w="3600"/>
            <w:shd w:fill="F2F2F2" w:val="clear"/>
            <w:tcMar>
              <w:top w:type="dxa" w:w="100"/>
              <w:left w:type="dxa" w:w="120"/>
              <w:bottom w:type="dxa" w:w="100"/>
              <w:right w:type="dxa" w:w="120"/>
            </w:tcMar>
            <w:vAlign w:val="center"/>
          </w:tcPr>
          <w:p>
            <w:pPr>
              <w:jc w:val="left"/>
            </w:pPr>
            <w:r>
              <w:rPr>
                <w:b w:val="false"/>
                <w:bCs w:val="false"/>
                <w:color w:val="000000"/>
              </w:rPr>
              <w:t xml:space="preserve">U-Net / DeepLabV3+ / SegFormer on LoveDA or Potsdam datasets</w:t>
            </w:r>
          </w:p>
        </w:tc>
        <w:tc>
          <w:tcPr>
            <w:tcW w:type="dxa" w:w="4200"/>
            <w:shd w:fill="F2F2F2" w:val="clear"/>
            <w:tcMar>
              <w:top w:type="dxa" w:w="100"/>
              <w:left w:type="dxa" w:w="120"/>
              <w:bottom w:type="dxa" w:w="100"/>
              <w:right w:type="dxa" w:w="120"/>
            </w:tcMar>
            <w:vAlign w:val="center"/>
          </w:tcPr>
          <w:p>
            <w:pPr>
              <w:jc w:val="left"/>
            </w:pPr>
            <w:r>
              <w:rPr>
                <w:b w:val="false"/>
                <w:bCs w:val="false"/>
                <w:color w:val="000000"/>
              </w:rPr>
              <w:t xml:space="preserve">Land-cover mapping (vegetation, water, urban, bare soil)</w:t>
            </w:r>
          </w:p>
        </w:tc>
      </w:tr>
      <w:tr>
        <w:tc>
          <w:tcPr>
            <w:tcW w:type="dxa" w:w="2200"/>
            <w:tcMar>
              <w:top w:type="dxa" w:w="100"/>
              <w:left w:type="dxa" w:w="120"/>
              <w:bottom w:type="dxa" w:w="100"/>
              <w:right w:type="dxa" w:w="120"/>
            </w:tcMar>
            <w:vAlign w:val="center"/>
          </w:tcPr>
          <w:p>
            <w:pPr>
              <w:jc w:val="left"/>
            </w:pPr>
            <w:r>
              <w:rPr>
                <w:b w:val="false"/>
                <w:bCs w:val="false"/>
                <w:color w:val="000000"/>
              </w:rPr>
              <w:t xml:space="preserve">Change Detection</w:t>
            </w:r>
          </w:p>
        </w:tc>
        <w:tc>
          <w:tcPr>
            <w:tcW w:type="dxa" w:w="3600"/>
            <w:tcMar>
              <w:top w:type="dxa" w:w="100"/>
              <w:left w:type="dxa" w:w="120"/>
              <w:bottom w:type="dxa" w:w="100"/>
              <w:right w:type="dxa" w:w="120"/>
            </w:tcMar>
            <w:vAlign w:val="center"/>
          </w:tcPr>
          <w:p>
            <w:pPr>
              <w:jc w:val="left"/>
            </w:pPr>
            <w:r>
              <w:rPr>
                <w:b w:val="false"/>
                <w:bCs w:val="false"/>
                <w:color w:val="000000"/>
              </w:rPr>
              <w:t xml:space="preserve">Siamese CNN / Transformer (e.g., ChangeFormer) on bi-temporal pairs</w:t>
            </w:r>
          </w:p>
        </w:tc>
        <w:tc>
          <w:tcPr>
            <w:tcW w:type="dxa" w:w="4200"/>
            <w:tcMar>
              <w:top w:type="dxa" w:w="100"/>
              <w:left w:type="dxa" w:w="120"/>
              <w:bottom w:type="dxa" w:w="100"/>
              <w:right w:type="dxa" w:w="120"/>
            </w:tcMar>
            <w:vAlign w:val="center"/>
          </w:tcPr>
          <w:p>
            <w:pPr>
              <w:jc w:val="left"/>
            </w:pPr>
            <w:r>
              <w:rPr>
                <w:b w:val="false"/>
                <w:bCs w:val="false"/>
                <w:color w:val="000000"/>
              </w:rPr>
              <w:t xml:space="preserve">Deforestation, urban expansion, flood/disaster before-after analysis</w:t>
            </w:r>
          </w:p>
        </w:tc>
      </w:tr>
      <w:tr>
        <w:tc>
          <w:tcPr>
            <w:tcW w:type="dxa" w:w="2200"/>
            <w:shd w:fill="F2F2F2" w:val="clear"/>
            <w:tcMar>
              <w:top w:type="dxa" w:w="100"/>
              <w:left w:type="dxa" w:w="120"/>
              <w:bottom w:type="dxa" w:w="100"/>
              <w:right w:type="dxa" w:w="120"/>
            </w:tcMar>
            <w:vAlign w:val="center"/>
          </w:tcPr>
          <w:p>
            <w:pPr>
              <w:jc w:val="left"/>
            </w:pPr>
            <w:r>
              <w:rPr>
                <w:b w:val="false"/>
                <w:bCs w:val="false"/>
                <w:color w:val="000000"/>
              </w:rPr>
              <w:t xml:space="preserve">OCR / Metadata Reader</w:t>
            </w:r>
          </w:p>
        </w:tc>
        <w:tc>
          <w:tcPr>
            <w:tcW w:type="dxa" w:w="3600"/>
            <w:shd w:fill="F2F2F2" w:val="clear"/>
            <w:tcMar>
              <w:top w:type="dxa" w:w="100"/>
              <w:left w:type="dxa" w:w="120"/>
              <w:bottom w:type="dxa" w:w="100"/>
              <w:right w:type="dxa" w:w="120"/>
            </w:tcMar>
            <w:vAlign w:val="center"/>
          </w:tcPr>
          <w:p>
            <w:pPr>
              <w:jc w:val="left"/>
            </w:pPr>
            <w:r>
              <w:rPr>
                <w:b w:val="false"/>
                <w:bCs w:val="false"/>
                <w:color w:val="000000"/>
              </w:rPr>
              <w:t xml:space="preserve">Standard OCR + EXIF/geo-metadata parser</w:t>
            </w:r>
          </w:p>
        </w:tc>
        <w:tc>
          <w:tcPr>
            <w:tcW w:type="dxa" w:w="4200"/>
            <w:shd w:fill="F2F2F2" w:val="clear"/>
            <w:tcMar>
              <w:top w:type="dxa" w:w="100"/>
              <w:left w:type="dxa" w:w="120"/>
              <w:bottom w:type="dxa" w:w="100"/>
              <w:right w:type="dxa" w:w="120"/>
            </w:tcMar>
            <w:vAlign w:val="center"/>
          </w:tcPr>
          <w:p>
            <w:pPr>
              <w:jc w:val="left"/>
            </w:pPr>
            <w:r>
              <w:rPr>
                <w:b w:val="false"/>
                <w:bCs w:val="false"/>
                <w:color w:val="000000"/>
              </w:rPr>
              <w:t xml:space="preserve">Reading embedded scale bars, coordinates, sensor tags</w:t>
            </w:r>
          </w:p>
        </w:tc>
      </w:tr>
    </w:tbl>
    <w:p>
      <w:pPr>
        <w:pStyle w:val="Heading2"/>
        <w:spacing w:after="120" w:before="260"/>
      </w:pPr>
      <w:r>
        <w:t xml:space="preserve">4.4 Retrieval-Augmented Generation (RAG) for Geospatial Context</w:t>
      </w:r>
    </w:p>
    <w:p>
      <w:pPr>
        <w:spacing w:after="140" w:line="300"/>
      </w:pPr>
      <w:r>
        <w:t xml:space="preserve">Maintain a vector database of previously analysed regions, known landmark metadata, and domain knowledge (e.g., typical crop calendars, disaster event records). When a query references external context ("is this normal for this season?"), the orchestrator retrieves relevant chunks and injects them into the VLM prompt — improving factual grounding beyond what is visible in pixels alone.</w:t>
      </w:r>
    </w:p>
    <w:p>
      <w:pPr>
        <w:pStyle w:val="Heading2"/>
        <w:spacing w:after="120" w:before="260"/>
      </w:pPr>
      <w:r>
        <w:t xml:space="preserve">4.5 Multimodal Fusion Technique</w:t>
      </w:r>
    </w:p>
    <w:p>
      <w:pPr>
        <w:spacing w:after="140" w:line="300"/>
      </w:pPr>
      <w:r>
        <w:t xml:space="preserve">Use an early/mid-fusion strategy: the image is split into patches, encoded by a Vision Transformer, projected into the LLM's embedding space via a trainable projector, and concatenated with the tokenised text query before being passed through the transformer decoder — this is the same fusion strategy used by LLaVA-style architectures and allows the single model to jointly attend over visual patches and language tokens for grounded, explainable answers.</w:t>
      </w:r>
    </w:p>
    <w:p>
      <w:pPr>
        <w:pStyle w:val="Heading1"/>
        <w:spacing w:after="160" w:before="360"/>
      </w:pPr>
      <w:r>
        <w:t xml:space="preserve">5. Datasets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800"/>
      </w:tblGrid>
      <w:tr>
        <w:trPr>
          <w:tblHeader/>
        </w:trPr>
        <w:tc>
          <w:tcPr>
            <w:tcW w:type="dxa" w:w="2800"/>
            <w:shd w:fill="1F4E79" w:val="clear"/>
            <w:tcMar>
              <w:top w:type="dxa" w:w="100"/>
              <w:left w:type="dxa" w:w="120"/>
              <w:bottom w:type="dxa" w:w="100"/>
              <w:right w:type="dxa" w:w="120"/>
            </w:tcMar>
            <w:vAlign w:val="center"/>
          </w:tcPr>
          <w:p>
            <w:pPr>
              <w:jc w:val="left"/>
            </w:pPr>
            <w:r>
              <w:rPr>
                <w:b/>
                <w:bCs/>
                <w:color w:val="FFFFFF"/>
              </w:rPr>
              <w:t xml:space="preserve">Dataset</w:t>
            </w:r>
          </w:p>
        </w:tc>
        <w:tc>
          <w:tcPr>
            <w:tcW w:type="dxa" w:w="2200"/>
            <w:shd w:fill="1F4E79" w:val="clear"/>
            <w:tcMar>
              <w:top w:type="dxa" w:w="100"/>
              <w:left w:type="dxa" w:w="120"/>
              <w:bottom w:type="dxa" w:w="100"/>
              <w:right w:type="dxa" w:w="120"/>
            </w:tcMar>
            <w:vAlign w:val="center"/>
          </w:tcPr>
          <w:p>
            <w:pPr>
              <w:jc w:val="left"/>
            </w:pPr>
            <w:r>
              <w:rPr>
                <w:b/>
                <w:bCs/>
                <w:color w:val="FFFFFF"/>
              </w:rPr>
              <w:t xml:space="preserve">Task</w:t>
            </w:r>
          </w:p>
        </w:tc>
        <w:tc>
          <w:tcPr>
            <w:tcW w:type="dxa" w:w="4800"/>
            <w:shd w:fill="1F4E79" w:val="clear"/>
            <w:tcMar>
              <w:top w:type="dxa" w:w="100"/>
              <w:left w:type="dxa" w:w="120"/>
              <w:bottom w:type="dxa" w:w="100"/>
              <w:right w:type="dxa" w:w="120"/>
            </w:tcMar>
            <w:vAlign w:val="center"/>
          </w:tcPr>
          <w:p>
            <w:pPr>
              <w:jc w:val="left"/>
            </w:pPr>
            <w:r>
              <w:rPr>
                <w:b/>
                <w:bCs/>
                <w:color w:val="FFFFFF"/>
              </w:rPr>
              <w:t xml:space="preserve">Details</w:t>
            </w:r>
          </w:p>
        </w:tc>
      </w:tr>
      <w:tr>
        <w:tc>
          <w:tcPr>
            <w:tcW w:type="dxa" w:w="2800"/>
            <w:tcMar>
              <w:top w:type="dxa" w:w="100"/>
              <w:left w:type="dxa" w:w="120"/>
              <w:bottom w:type="dxa" w:w="100"/>
              <w:right w:type="dxa" w:w="120"/>
            </w:tcMar>
            <w:vAlign w:val="center"/>
          </w:tcPr>
          <w:p>
            <w:pPr>
              <w:jc w:val="left"/>
            </w:pPr>
            <w:r>
              <w:rPr>
                <w:b w:val="false"/>
                <w:bCs w:val="false"/>
                <w:color w:val="000000"/>
              </w:rPr>
              <w:t xml:space="preserve">RSICD / UCM-Captions / Sydney-Captions</w:t>
            </w:r>
          </w:p>
        </w:tc>
        <w:tc>
          <w:tcPr>
            <w:tcW w:type="dxa" w:w="2200"/>
            <w:tcMar>
              <w:top w:type="dxa" w:w="100"/>
              <w:left w:type="dxa" w:w="120"/>
              <w:bottom w:type="dxa" w:w="100"/>
              <w:right w:type="dxa" w:w="120"/>
            </w:tcMar>
            <w:vAlign w:val="center"/>
          </w:tcPr>
          <w:p>
            <w:pPr>
              <w:jc w:val="left"/>
            </w:pPr>
            <w:r>
              <w:rPr>
                <w:b w:val="false"/>
                <w:bCs w:val="false"/>
                <w:color w:val="000000"/>
              </w:rPr>
              <w:t xml:space="preserve">Image Captioning</w:t>
            </w:r>
          </w:p>
        </w:tc>
        <w:tc>
          <w:tcPr>
            <w:tcW w:type="dxa" w:w="4800"/>
            <w:tcMar>
              <w:top w:type="dxa" w:w="100"/>
              <w:left w:type="dxa" w:w="120"/>
              <w:bottom w:type="dxa" w:w="100"/>
              <w:right w:type="dxa" w:w="120"/>
            </w:tcMar>
            <w:vAlign w:val="center"/>
          </w:tcPr>
          <w:p>
            <w:pPr>
              <w:jc w:val="left"/>
            </w:pPr>
            <w:r>
              <w:rPr>
                <w:b w:val="false"/>
                <w:bCs w:val="false"/>
                <w:color w:val="000000"/>
              </w:rPr>
              <w:t xml:space="preserve">Standard RS captioning benchmarks, tens of thousands of image-caption pairs</w:t>
            </w:r>
          </w:p>
        </w:tc>
      </w:tr>
      <w:tr>
        <w:tc>
          <w:tcPr>
            <w:tcW w:type="dxa" w:w="2800"/>
            <w:shd w:fill="F2F2F2" w:val="clear"/>
            <w:tcMar>
              <w:top w:type="dxa" w:w="100"/>
              <w:left w:type="dxa" w:w="120"/>
              <w:bottom w:type="dxa" w:w="100"/>
              <w:right w:type="dxa" w:w="120"/>
            </w:tcMar>
            <w:vAlign w:val="center"/>
          </w:tcPr>
          <w:p>
            <w:pPr>
              <w:jc w:val="left"/>
            </w:pPr>
            <w:r>
              <w:rPr>
                <w:b w:val="false"/>
                <w:bCs w:val="false"/>
                <w:color w:val="000000"/>
              </w:rPr>
              <w:t xml:space="preserve">RSVQA (LR &amp; HR)</w:t>
            </w:r>
          </w:p>
        </w:tc>
        <w:tc>
          <w:tcPr>
            <w:tcW w:type="dxa" w:w="2200"/>
            <w:shd w:fill="F2F2F2" w:val="clear"/>
            <w:tcMar>
              <w:top w:type="dxa" w:w="100"/>
              <w:left w:type="dxa" w:w="120"/>
              <w:bottom w:type="dxa" w:w="100"/>
              <w:right w:type="dxa" w:w="120"/>
            </w:tcMar>
            <w:vAlign w:val="center"/>
          </w:tcPr>
          <w:p>
            <w:pPr>
              <w:jc w:val="left"/>
            </w:pPr>
            <w:r>
              <w:rPr>
                <w:b w:val="false"/>
                <w:bCs w:val="false"/>
                <w:color w:val="000000"/>
              </w:rPr>
              <w:t xml:space="preserve">Visual Question Answering</w:t>
            </w:r>
          </w:p>
        </w:tc>
        <w:tc>
          <w:tcPr>
            <w:tcW w:type="dxa" w:w="4800"/>
            <w:shd w:fill="F2F2F2" w:val="clear"/>
            <w:tcMar>
              <w:top w:type="dxa" w:w="100"/>
              <w:left w:type="dxa" w:w="120"/>
              <w:bottom w:type="dxa" w:w="100"/>
              <w:right w:type="dxa" w:w="120"/>
            </w:tcMar>
            <w:vAlign w:val="center"/>
          </w:tcPr>
          <w:p>
            <w:pPr>
              <w:jc w:val="left"/>
            </w:pPr>
            <w:r>
              <w:rPr>
                <w:b w:val="false"/>
                <w:bCs w:val="false"/>
                <w:color w:val="000000"/>
              </w:rPr>
              <w:t xml:space="preserve">Low &amp; high resolution VQA pairs over Sentinel-2 and aerial imagery</w:t>
            </w:r>
          </w:p>
        </w:tc>
      </w:tr>
      <w:tr>
        <w:tc>
          <w:tcPr>
            <w:tcW w:type="dxa" w:w="2800"/>
            <w:tcMar>
              <w:top w:type="dxa" w:w="100"/>
              <w:left w:type="dxa" w:w="120"/>
              <w:bottom w:type="dxa" w:w="100"/>
              <w:right w:type="dxa" w:w="120"/>
            </w:tcMar>
            <w:vAlign w:val="center"/>
          </w:tcPr>
          <w:p>
            <w:pPr>
              <w:jc w:val="left"/>
            </w:pPr>
            <w:r>
              <w:rPr>
                <w:b w:val="false"/>
                <w:bCs w:val="false"/>
                <w:color w:val="000000"/>
              </w:rPr>
              <w:t xml:space="preserve">NWPU-RESISC45</w:t>
            </w:r>
          </w:p>
        </w:tc>
        <w:tc>
          <w:tcPr>
            <w:tcW w:type="dxa" w:w="2200"/>
            <w:tcMar>
              <w:top w:type="dxa" w:w="100"/>
              <w:left w:type="dxa" w:w="120"/>
              <w:bottom w:type="dxa" w:w="100"/>
              <w:right w:type="dxa" w:w="120"/>
            </w:tcMar>
            <w:vAlign w:val="center"/>
          </w:tcPr>
          <w:p>
            <w:pPr>
              <w:jc w:val="left"/>
            </w:pPr>
            <w:r>
              <w:rPr>
                <w:b w:val="false"/>
                <w:bCs w:val="false"/>
                <w:color w:val="000000"/>
              </w:rPr>
              <w:t xml:space="preserve">Scene Classification</w:t>
            </w:r>
          </w:p>
        </w:tc>
        <w:tc>
          <w:tcPr>
            <w:tcW w:type="dxa" w:w="4800"/>
            <w:tcMar>
              <w:top w:type="dxa" w:w="100"/>
              <w:left w:type="dxa" w:w="120"/>
              <w:bottom w:type="dxa" w:w="100"/>
              <w:right w:type="dxa" w:w="120"/>
            </w:tcMar>
            <w:vAlign w:val="center"/>
          </w:tcPr>
          <w:p>
            <w:pPr>
              <w:jc w:val="left"/>
            </w:pPr>
            <w:r>
              <w:rPr>
                <w:b w:val="false"/>
                <w:bCs w:val="false"/>
                <w:color w:val="000000"/>
              </w:rPr>
              <w:t xml:space="preserve">45 scene classes, 31,500 images — good for pre-training the vision encoder</w:t>
            </w:r>
          </w:p>
        </w:tc>
      </w:tr>
      <w:tr>
        <w:tc>
          <w:tcPr>
            <w:tcW w:type="dxa" w:w="2800"/>
            <w:shd w:fill="F2F2F2" w:val="clear"/>
            <w:tcMar>
              <w:top w:type="dxa" w:w="100"/>
              <w:left w:type="dxa" w:w="120"/>
              <w:bottom w:type="dxa" w:w="100"/>
              <w:right w:type="dxa" w:w="120"/>
            </w:tcMar>
            <w:vAlign w:val="center"/>
          </w:tcPr>
          <w:p>
            <w:pPr>
              <w:jc w:val="left"/>
            </w:pPr>
            <w:r>
              <w:rPr>
                <w:b w:val="false"/>
                <w:bCs w:val="false"/>
                <w:color w:val="000000"/>
              </w:rPr>
              <w:t xml:space="preserve">DOTA / NWPU VHR-10</w:t>
            </w:r>
          </w:p>
        </w:tc>
        <w:tc>
          <w:tcPr>
            <w:tcW w:type="dxa" w:w="2200"/>
            <w:shd w:fill="F2F2F2" w:val="clear"/>
            <w:tcMar>
              <w:top w:type="dxa" w:w="100"/>
              <w:left w:type="dxa" w:w="120"/>
              <w:bottom w:type="dxa" w:w="100"/>
              <w:right w:type="dxa" w:w="120"/>
            </w:tcMar>
            <w:vAlign w:val="center"/>
          </w:tcPr>
          <w:p>
            <w:pPr>
              <w:jc w:val="left"/>
            </w:pPr>
            <w:r>
              <w:rPr>
                <w:b w:val="false"/>
                <w:bCs w:val="false"/>
                <w:color w:val="000000"/>
              </w:rPr>
              <w:t xml:space="preserve">Object Detection</w:t>
            </w:r>
          </w:p>
        </w:tc>
        <w:tc>
          <w:tcPr>
            <w:tcW w:type="dxa" w:w="4800"/>
            <w:shd w:fill="F2F2F2" w:val="clear"/>
            <w:tcMar>
              <w:top w:type="dxa" w:w="100"/>
              <w:left w:type="dxa" w:w="120"/>
              <w:bottom w:type="dxa" w:w="100"/>
              <w:right w:type="dxa" w:w="120"/>
            </w:tcMar>
            <w:vAlign w:val="center"/>
          </w:tcPr>
          <w:p>
            <w:pPr>
              <w:jc w:val="left"/>
            </w:pPr>
            <w:r>
              <w:rPr>
                <w:b w:val="false"/>
                <w:bCs w:val="false"/>
                <w:color w:val="000000"/>
              </w:rPr>
              <w:t xml:space="preserve">Oriented bounding boxes for 15–18 object categories in aerial imagery</w:t>
            </w:r>
          </w:p>
        </w:tc>
      </w:tr>
      <w:tr>
        <w:tc>
          <w:tcPr>
            <w:tcW w:type="dxa" w:w="2800"/>
            <w:tcMar>
              <w:top w:type="dxa" w:w="100"/>
              <w:left w:type="dxa" w:w="120"/>
              <w:bottom w:type="dxa" w:w="100"/>
              <w:right w:type="dxa" w:w="120"/>
            </w:tcMar>
            <w:vAlign w:val="center"/>
          </w:tcPr>
          <w:p>
            <w:pPr>
              <w:jc w:val="left"/>
            </w:pPr>
            <w:r>
              <w:rPr>
                <w:b w:val="false"/>
                <w:bCs w:val="false"/>
                <w:color w:val="000000"/>
              </w:rPr>
              <w:t xml:space="preserve">LoveDA / ISPRS Potsdam &amp; Vaihingen</w:t>
            </w:r>
          </w:p>
        </w:tc>
        <w:tc>
          <w:tcPr>
            <w:tcW w:type="dxa" w:w="2200"/>
            <w:tcMar>
              <w:top w:type="dxa" w:w="100"/>
              <w:left w:type="dxa" w:w="120"/>
              <w:bottom w:type="dxa" w:w="100"/>
              <w:right w:type="dxa" w:w="120"/>
            </w:tcMar>
            <w:vAlign w:val="center"/>
          </w:tcPr>
          <w:p>
            <w:pPr>
              <w:jc w:val="left"/>
            </w:pPr>
            <w:r>
              <w:rPr>
                <w:b w:val="false"/>
                <w:bCs w:val="false"/>
                <w:color w:val="000000"/>
              </w:rPr>
              <w:t xml:space="preserve">Semantic Segmentation</w:t>
            </w:r>
          </w:p>
        </w:tc>
        <w:tc>
          <w:tcPr>
            <w:tcW w:type="dxa" w:w="4800"/>
            <w:tcMar>
              <w:top w:type="dxa" w:w="100"/>
              <w:left w:type="dxa" w:w="120"/>
              <w:bottom w:type="dxa" w:w="100"/>
              <w:right w:type="dxa" w:w="120"/>
            </w:tcMar>
            <w:vAlign w:val="center"/>
          </w:tcPr>
          <w:p>
            <w:pPr>
              <w:jc w:val="left"/>
            </w:pPr>
            <w:r>
              <w:rPr>
                <w:b w:val="false"/>
                <w:bCs w:val="false"/>
                <w:color w:val="000000"/>
              </w:rPr>
              <w:t xml:space="preserve">Pixel-level land-cover labels for urban/rural scenes</w:t>
            </w:r>
          </w:p>
        </w:tc>
      </w:tr>
      <w:tr>
        <w:tc>
          <w:tcPr>
            <w:tcW w:type="dxa" w:w="2800"/>
            <w:shd w:fill="F2F2F2" w:val="clear"/>
            <w:tcMar>
              <w:top w:type="dxa" w:w="100"/>
              <w:left w:type="dxa" w:w="120"/>
              <w:bottom w:type="dxa" w:w="100"/>
              <w:right w:type="dxa" w:w="120"/>
            </w:tcMar>
            <w:vAlign w:val="center"/>
          </w:tcPr>
          <w:p>
            <w:pPr>
              <w:jc w:val="left"/>
            </w:pPr>
            <w:r>
              <w:rPr>
                <w:b w:val="false"/>
                <w:bCs w:val="false"/>
                <w:color w:val="000000"/>
              </w:rPr>
              <w:t xml:space="preserve">LEVIR-CD / OSCD</w:t>
            </w:r>
          </w:p>
        </w:tc>
        <w:tc>
          <w:tcPr>
            <w:tcW w:type="dxa" w:w="2200"/>
            <w:shd w:fill="F2F2F2" w:val="clear"/>
            <w:tcMar>
              <w:top w:type="dxa" w:w="100"/>
              <w:left w:type="dxa" w:w="120"/>
              <w:bottom w:type="dxa" w:w="100"/>
              <w:right w:type="dxa" w:w="120"/>
            </w:tcMar>
            <w:vAlign w:val="center"/>
          </w:tcPr>
          <w:p>
            <w:pPr>
              <w:jc w:val="left"/>
            </w:pPr>
            <w:r>
              <w:rPr>
                <w:b w:val="false"/>
                <w:bCs w:val="false"/>
                <w:color w:val="000000"/>
              </w:rPr>
              <w:t xml:space="preserve">Change Detection</w:t>
            </w:r>
          </w:p>
        </w:tc>
        <w:tc>
          <w:tcPr>
            <w:tcW w:type="dxa" w:w="4800"/>
            <w:shd w:fill="F2F2F2" w:val="clear"/>
            <w:tcMar>
              <w:top w:type="dxa" w:w="100"/>
              <w:left w:type="dxa" w:w="120"/>
              <w:bottom w:type="dxa" w:w="100"/>
              <w:right w:type="dxa" w:w="120"/>
            </w:tcMar>
            <w:vAlign w:val="center"/>
          </w:tcPr>
          <w:p>
            <w:pPr>
              <w:jc w:val="left"/>
            </w:pPr>
            <w:r>
              <w:rPr>
                <w:b w:val="false"/>
                <w:bCs w:val="false"/>
                <w:color w:val="000000"/>
              </w:rPr>
              <w:t xml:space="preserve">Bi-temporal image pairs with building/land-cover change masks</w:t>
            </w:r>
          </w:p>
        </w:tc>
      </w:tr>
      <w:tr>
        <w:tc>
          <w:tcPr>
            <w:tcW w:type="dxa" w:w="2800"/>
            <w:tcMar>
              <w:top w:type="dxa" w:w="100"/>
              <w:left w:type="dxa" w:w="120"/>
              <w:bottom w:type="dxa" w:w="100"/>
              <w:right w:type="dxa" w:w="120"/>
            </w:tcMar>
            <w:vAlign w:val="center"/>
          </w:tcPr>
          <w:p>
            <w:pPr>
              <w:jc w:val="left"/>
            </w:pPr>
            <w:r>
              <w:rPr>
                <w:b w:val="false"/>
                <w:bCs w:val="false"/>
                <w:color w:val="000000"/>
              </w:rPr>
              <w:t xml:space="preserve">GeoChat-Instruct (318k)</w:t>
            </w:r>
          </w:p>
        </w:tc>
        <w:tc>
          <w:tcPr>
            <w:tcW w:type="dxa" w:w="2200"/>
            <w:tcMar>
              <w:top w:type="dxa" w:w="100"/>
              <w:left w:type="dxa" w:w="120"/>
              <w:bottom w:type="dxa" w:w="100"/>
              <w:right w:type="dxa" w:w="120"/>
            </w:tcMar>
            <w:vAlign w:val="center"/>
          </w:tcPr>
          <w:p>
            <w:pPr>
              <w:jc w:val="left"/>
            </w:pPr>
            <w:r>
              <w:rPr>
                <w:b w:val="false"/>
                <w:bCs w:val="false"/>
                <w:color w:val="000000"/>
              </w:rPr>
              <w:t xml:space="preserve">Instruction Tuning</w:t>
            </w:r>
          </w:p>
        </w:tc>
        <w:tc>
          <w:tcPr>
            <w:tcW w:type="dxa" w:w="4800"/>
            <w:tcMar>
              <w:top w:type="dxa" w:w="100"/>
              <w:left w:type="dxa" w:w="120"/>
              <w:bottom w:type="dxa" w:w="100"/>
              <w:right w:type="dxa" w:w="120"/>
            </w:tcMar>
            <w:vAlign w:val="center"/>
          </w:tcPr>
          <w:p>
            <w:pPr>
              <w:jc w:val="left"/>
            </w:pPr>
            <w:r>
              <w:rPr>
                <w:b w:val="false"/>
                <w:bCs w:val="false"/>
                <w:color w:val="000000"/>
              </w:rPr>
              <w:t xml:space="preserve">Ready-made multimodal instruction dataset combining captioning, VQA, grounding and classification for RS — ideal seed data to fine-tune on directly</w:t>
            </w:r>
          </w:p>
        </w:tc>
      </w:tr>
    </w:tbl>
    <w:p>
      <w:pPr>
        <w:spacing w:after="140" w:line="300"/>
      </w:pPr>
      <w:r>
        <w:rPr>
          <w:i/>
          <w:iCs/>
        </w:rPr>
        <w:t xml:space="preserve">For a hackathon timeline, prioritise reusing the GeoChat-Instruct dataset (or a filtered subset of it) plus RSVQA and NWPU-RESISC45 rather than building an instruction dataset from scratch.</w:t>
      </w:r>
    </w:p>
    <w:p>
      <w:pPr>
        <w:pStyle w:val="Heading1"/>
        <w:spacing w:after="160" w:before="360"/>
      </w:pPr>
      <w:r>
        <w:t xml:space="preserve">6. Suggested Technology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F4E79" w:val="clear"/>
            <w:tcMar>
              <w:top w:type="dxa" w:w="100"/>
              <w:left w:type="dxa" w:w="120"/>
              <w:bottom w:type="dxa" w:w="100"/>
              <w:right w:type="dxa" w:w="120"/>
            </w:tcMar>
            <w:vAlign w:val="center"/>
          </w:tcPr>
          <w:p>
            <w:pPr>
              <w:jc w:val="left"/>
            </w:pPr>
            <w:r>
              <w:rPr>
                <w:b/>
                <w:bCs/>
                <w:color w:val="FFFFFF"/>
              </w:rPr>
              <w:t xml:space="preserve">Layer</w:t>
            </w:r>
          </w:p>
        </w:tc>
        <w:tc>
          <w:tcPr>
            <w:tcW w:type="dxa" w:w="6800"/>
            <w:shd w:fill="1F4E79" w:val="clear"/>
            <w:tcMar>
              <w:top w:type="dxa" w:w="100"/>
              <w:left w:type="dxa" w:w="120"/>
              <w:bottom w:type="dxa" w:w="100"/>
              <w:right w:type="dxa" w:w="120"/>
            </w:tcMar>
            <w:vAlign w:val="center"/>
          </w:tcPr>
          <w:p>
            <w:pPr>
              <w:jc w:val="left"/>
            </w:pPr>
            <w:r>
              <w:rPr>
                <w:b/>
                <w:bCs/>
                <w:color w:val="FFFFFF"/>
              </w:rPr>
              <w:t xml:space="preserve">Tools / Frameworks</w:t>
            </w:r>
          </w:p>
        </w:tc>
      </w:tr>
      <w:tr>
        <w:tc>
          <w:tcPr>
            <w:tcW w:type="dxa" w:w="3000"/>
            <w:tcMar>
              <w:top w:type="dxa" w:w="100"/>
              <w:left w:type="dxa" w:w="120"/>
              <w:bottom w:type="dxa" w:w="100"/>
              <w:right w:type="dxa" w:w="120"/>
            </w:tcMar>
            <w:vAlign w:val="center"/>
          </w:tcPr>
          <w:p>
            <w:pPr>
              <w:jc w:val="left"/>
            </w:pPr>
            <w:r>
              <w:rPr>
                <w:b w:val="false"/>
                <w:bCs w:val="false"/>
                <w:color w:val="000000"/>
              </w:rPr>
              <w:t xml:space="preserve">Model training &amp; fine-tuning</w:t>
            </w:r>
          </w:p>
        </w:tc>
        <w:tc>
          <w:tcPr>
            <w:tcW w:type="dxa" w:w="6800"/>
            <w:tcMar>
              <w:top w:type="dxa" w:w="100"/>
              <w:left w:type="dxa" w:w="120"/>
              <w:bottom w:type="dxa" w:w="100"/>
              <w:right w:type="dxa" w:w="120"/>
            </w:tcMar>
            <w:vAlign w:val="center"/>
          </w:tcPr>
          <w:p>
            <w:pPr>
              <w:jc w:val="left"/>
            </w:pPr>
            <w:r>
              <w:rPr>
                <w:b w:val="false"/>
                <w:bCs w:val="false"/>
                <w:color w:val="000000"/>
              </w:rPr>
              <w:t xml:space="preserve">PyTorch, HuggingFace Transformers + PEFT (LoRA/QLoRA), bitsandbytes, DeepSpeed/Accelerate</w:t>
            </w:r>
          </w:p>
        </w:tc>
      </w:tr>
      <w:tr>
        <w:tc>
          <w:tcPr>
            <w:tcW w:type="dxa" w:w="3000"/>
            <w:shd w:fill="F2F2F2" w:val="clear"/>
            <w:tcMar>
              <w:top w:type="dxa" w:w="100"/>
              <w:left w:type="dxa" w:w="120"/>
              <w:bottom w:type="dxa" w:w="100"/>
              <w:right w:type="dxa" w:w="120"/>
            </w:tcMar>
            <w:vAlign w:val="center"/>
          </w:tcPr>
          <w:p>
            <w:pPr>
              <w:jc w:val="left"/>
            </w:pPr>
            <w:r>
              <w:rPr>
                <w:b w:val="false"/>
                <w:bCs w:val="false"/>
                <w:color w:val="000000"/>
              </w:rPr>
              <w:t xml:space="preserve">Base VLM checkpoints</w:t>
            </w:r>
          </w:p>
        </w:tc>
        <w:tc>
          <w:tcPr>
            <w:tcW w:type="dxa" w:w="6800"/>
            <w:shd w:fill="F2F2F2" w:val="clear"/>
            <w:tcMar>
              <w:top w:type="dxa" w:w="100"/>
              <w:left w:type="dxa" w:w="120"/>
              <w:bottom w:type="dxa" w:w="100"/>
              <w:right w:type="dxa" w:w="120"/>
            </w:tcMar>
            <w:vAlign w:val="center"/>
          </w:tcPr>
          <w:p>
            <w:pPr>
              <w:jc w:val="left"/>
            </w:pPr>
            <w:r>
              <w:rPr>
                <w:b w:val="false"/>
                <w:bCs w:val="false"/>
                <w:color w:val="000000"/>
              </w:rPr>
              <w:t xml:space="preserve">LLaVA-1.5 / Qwen2.5-VL / open GeoChat weights (where licensing permits)</w:t>
            </w:r>
          </w:p>
        </w:tc>
      </w:tr>
      <w:tr>
        <w:tc>
          <w:tcPr>
            <w:tcW w:type="dxa" w:w="3000"/>
            <w:tcMar>
              <w:top w:type="dxa" w:w="100"/>
              <w:left w:type="dxa" w:w="120"/>
              <w:bottom w:type="dxa" w:w="100"/>
              <w:right w:type="dxa" w:w="120"/>
            </w:tcMar>
            <w:vAlign w:val="center"/>
          </w:tcPr>
          <w:p>
            <w:pPr>
              <w:jc w:val="left"/>
            </w:pPr>
            <w:r>
              <w:rPr>
                <w:b w:val="false"/>
                <w:bCs w:val="false"/>
                <w:color w:val="000000"/>
              </w:rPr>
              <w:t xml:space="preserve">Detection / Segmentation</w:t>
            </w:r>
          </w:p>
        </w:tc>
        <w:tc>
          <w:tcPr>
            <w:tcW w:type="dxa" w:w="6800"/>
            <w:tcMar>
              <w:top w:type="dxa" w:w="100"/>
              <w:left w:type="dxa" w:w="120"/>
              <w:bottom w:type="dxa" w:w="100"/>
              <w:right w:type="dxa" w:w="120"/>
            </w:tcMar>
            <w:vAlign w:val="center"/>
          </w:tcPr>
          <w:p>
            <w:pPr>
              <w:jc w:val="left"/>
            </w:pPr>
            <w:r>
              <w:rPr>
                <w:b w:val="false"/>
                <w:bCs w:val="false"/>
                <w:color w:val="000000"/>
              </w:rPr>
              <w:t xml:space="preserve">Ultralytics YOLOv8, MMDetection, MMSegmentation</w:t>
            </w:r>
          </w:p>
        </w:tc>
      </w:tr>
      <w:tr>
        <w:tc>
          <w:tcPr>
            <w:tcW w:type="dxa" w:w="3000"/>
            <w:shd w:fill="F2F2F2" w:val="clear"/>
            <w:tcMar>
              <w:top w:type="dxa" w:w="100"/>
              <w:left w:type="dxa" w:w="120"/>
              <w:bottom w:type="dxa" w:w="100"/>
              <w:right w:type="dxa" w:w="120"/>
            </w:tcMar>
            <w:vAlign w:val="center"/>
          </w:tcPr>
          <w:p>
            <w:pPr>
              <w:jc w:val="left"/>
            </w:pPr>
            <w:r>
              <w:rPr>
                <w:b w:val="false"/>
                <w:bCs w:val="false"/>
                <w:color w:val="000000"/>
              </w:rPr>
              <w:t xml:space="preserve">Backend / Serving</w:t>
            </w:r>
          </w:p>
        </w:tc>
        <w:tc>
          <w:tcPr>
            <w:tcW w:type="dxa" w:w="6800"/>
            <w:shd w:fill="F2F2F2" w:val="clear"/>
            <w:tcMar>
              <w:top w:type="dxa" w:w="100"/>
              <w:left w:type="dxa" w:w="120"/>
              <w:bottom w:type="dxa" w:w="100"/>
              <w:right w:type="dxa" w:w="120"/>
            </w:tcMar>
            <w:vAlign w:val="center"/>
          </w:tcPr>
          <w:p>
            <w:pPr>
              <w:jc w:val="left"/>
            </w:pPr>
            <w:r>
              <w:rPr>
                <w:b w:val="false"/>
                <w:bCs w:val="false"/>
                <w:color w:val="000000"/>
              </w:rPr>
              <w:t xml:space="preserve">FastAPI, vLLM / TGI for inference serving, Celery for async jobs</w:t>
            </w:r>
          </w:p>
        </w:tc>
      </w:tr>
      <w:tr>
        <w:tc>
          <w:tcPr>
            <w:tcW w:type="dxa" w:w="3000"/>
            <w:tcMar>
              <w:top w:type="dxa" w:w="100"/>
              <w:left w:type="dxa" w:w="120"/>
              <w:bottom w:type="dxa" w:w="100"/>
              <w:right w:type="dxa" w:w="120"/>
            </w:tcMar>
            <w:vAlign w:val="center"/>
          </w:tcPr>
          <w:p>
            <w:pPr>
              <w:jc w:val="left"/>
            </w:pPr>
            <w:r>
              <w:rPr>
                <w:b w:val="false"/>
                <w:bCs w:val="false"/>
                <w:color w:val="000000"/>
              </w:rPr>
              <w:t xml:space="preserve">Vector store &amp; RAG</w:t>
            </w:r>
          </w:p>
        </w:tc>
        <w:tc>
          <w:tcPr>
            <w:tcW w:type="dxa" w:w="6800"/>
            <w:tcMar>
              <w:top w:type="dxa" w:w="100"/>
              <w:left w:type="dxa" w:w="120"/>
              <w:bottom w:type="dxa" w:w="100"/>
              <w:right w:type="dxa" w:w="120"/>
            </w:tcMar>
            <w:vAlign w:val="center"/>
          </w:tcPr>
          <w:p>
            <w:pPr>
              <w:jc w:val="left"/>
            </w:pPr>
            <w:r>
              <w:rPr>
                <w:b w:val="false"/>
                <w:bCs w:val="false"/>
                <w:color w:val="000000"/>
              </w:rPr>
              <w:t xml:space="preserve">FAISS / Milvus / Chroma, LangChain or a custom lightweight agent loop</w:t>
            </w:r>
          </w:p>
        </w:tc>
      </w:tr>
      <w:tr>
        <w:tc>
          <w:tcPr>
            <w:tcW w:type="dxa" w:w="3000"/>
            <w:shd w:fill="F2F2F2" w:val="clear"/>
            <w:tcMar>
              <w:top w:type="dxa" w:w="100"/>
              <w:left w:type="dxa" w:w="120"/>
              <w:bottom w:type="dxa" w:w="100"/>
              <w:right w:type="dxa" w:w="120"/>
            </w:tcMar>
            <w:vAlign w:val="center"/>
          </w:tcPr>
          <w:p>
            <w:pPr>
              <w:jc w:val="left"/>
            </w:pPr>
            <w:r>
              <w:rPr>
                <w:b w:val="false"/>
                <w:bCs w:val="false"/>
                <w:color w:val="000000"/>
              </w:rPr>
              <w:t xml:space="preserve">Database</w:t>
            </w:r>
          </w:p>
        </w:tc>
        <w:tc>
          <w:tcPr>
            <w:tcW w:type="dxa" w:w="6800"/>
            <w:shd w:fill="F2F2F2" w:val="clear"/>
            <w:tcMar>
              <w:top w:type="dxa" w:w="100"/>
              <w:left w:type="dxa" w:w="120"/>
              <w:bottom w:type="dxa" w:w="100"/>
              <w:right w:type="dxa" w:w="120"/>
            </w:tcMar>
            <w:vAlign w:val="center"/>
          </w:tcPr>
          <w:p>
            <w:pPr>
              <w:jc w:val="left"/>
            </w:pPr>
            <w:r>
              <w:rPr>
                <w:b w:val="false"/>
                <w:bCs w:val="false"/>
                <w:color w:val="000000"/>
              </w:rPr>
              <w:t xml:space="preserve">PostgreSQL + PostGIS for geospatial metadata, MinIO/S3 for raster storage</w:t>
            </w:r>
          </w:p>
        </w:tc>
      </w:tr>
      <w:tr>
        <w:tc>
          <w:tcPr>
            <w:tcW w:type="dxa" w:w="3000"/>
            <w:tcMar>
              <w:top w:type="dxa" w:w="100"/>
              <w:left w:type="dxa" w:w="120"/>
              <w:bottom w:type="dxa" w:w="100"/>
              <w:right w:type="dxa" w:w="120"/>
            </w:tcMar>
            <w:vAlign w:val="center"/>
          </w:tcPr>
          <w:p>
            <w:pPr>
              <w:jc w:val="left"/>
            </w:pPr>
            <w:r>
              <w:rPr>
                <w:b w:val="false"/>
                <w:bCs w:val="false"/>
                <w:color w:val="000000"/>
              </w:rPr>
              <w:t xml:space="preserve">Frontend</w:t>
            </w:r>
          </w:p>
        </w:tc>
        <w:tc>
          <w:tcPr>
            <w:tcW w:type="dxa" w:w="6800"/>
            <w:tcMar>
              <w:top w:type="dxa" w:w="100"/>
              <w:left w:type="dxa" w:w="120"/>
              <w:bottom w:type="dxa" w:w="100"/>
              <w:right w:type="dxa" w:w="120"/>
            </w:tcMar>
            <w:vAlign w:val="center"/>
          </w:tcPr>
          <w:p>
            <w:pPr>
              <w:jc w:val="left"/>
            </w:pPr>
            <w:r>
              <w:rPr>
                <w:b w:val="false"/>
                <w:bCs w:val="false"/>
                <w:color w:val="000000"/>
              </w:rPr>
              <w:t xml:space="preserve">React/Next.js, Leaflet or Mapbox GL for map + overlay visualisation</w:t>
            </w:r>
          </w:p>
        </w:tc>
      </w:tr>
      <w:tr>
        <w:tc>
          <w:tcPr>
            <w:tcW w:type="dxa" w:w="3000"/>
            <w:shd w:fill="F2F2F2" w:val="clear"/>
            <w:tcMar>
              <w:top w:type="dxa" w:w="100"/>
              <w:left w:type="dxa" w:w="120"/>
              <w:bottom w:type="dxa" w:w="100"/>
              <w:right w:type="dxa" w:w="120"/>
            </w:tcMar>
            <w:vAlign w:val="center"/>
          </w:tcPr>
          <w:p>
            <w:pPr>
              <w:jc w:val="left"/>
            </w:pPr>
            <w:r>
              <w:rPr>
                <w:b w:val="false"/>
                <w:bCs w:val="false"/>
                <w:color w:val="000000"/>
              </w:rPr>
              <w:t xml:space="preserve">Deployment / MLOps</w:t>
            </w:r>
          </w:p>
        </w:tc>
        <w:tc>
          <w:tcPr>
            <w:tcW w:type="dxa" w:w="6800"/>
            <w:shd w:fill="F2F2F2" w:val="clear"/>
            <w:tcMar>
              <w:top w:type="dxa" w:w="100"/>
              <w:left w:type="dxa" w:w="120"/>
              <w:bottom w:type="dxa" w:w="100"/>
              <w:right w:type="dxa" w:w="120"/>
            </w:tcMar>
            <w:vAlign w:val="center"/>
          </w:tcPr>
          <w:p>
            <w:pPr>
              <w:jc w:val="left"/>
            </w:pPr>
            <w:r>
              <w:rPr>
                <w:b w:val="false"/>
                <w:bCs w:val="false"/>
                <w:color w:val="000000"/>
              </w:rPr>
              <w:t xml:space="preserve">Docker, Kubernetes (optional), GitHub Actions CI, Weights &amp; Biases for experiment tracking</w:t>
            </w:r>
          </w:p>
        </w:tc>
      </w:tr>
      <w:tr>
        <w:tc>
          <w:tcPr>
            <w:tcW w:type="dxa" w:w="3000"/>
            <w:tcMar>
              <w:top w:type="dxa" w:w="100"/>
              <w:left w:type="dxa" w:w="120"/>
              <w:bottom w:type="dxa" w:w="100"/>
              <w:right w:type="dxa" w:w="120"/>
            </w:tcMar>
            <w:vAlign w:val="center"/>
          </w:tcPr>
          <w:p>
            <w:pPr>
              <w:jc w:val="left"/>
            </w:pPr>
            <w:r>
              <w:rPr>
                <w:b w:val="false"/>
                <w:bCs w:val="false"/>
                <w:color w:val="000000"/>
              </w:rPr>
              <w:t xml:space="preserve">Hardware</w:t>
            </w:r>
          </w:p>
        </w:tc>
        <w:tc>
          <w:tcPr>
            <w:tcW w:type="dxa" w:w="6800"/>
            <w:tcMar>
              <w:top w:type="dxa" w:w="100"/>
              <w:left w:type="dxa" w:w="120"/>
              <w:bottom w:type="dxa" w:w="100"/>
              <w:right w:type="dxa" w:w="120"/>
            </w:tcMar>
            <w:vAlign w:val="center"/>
          </w:tcPr>
          <w:p>
            <w:pPr>
              <w:jc w:val="left"/>
            </w:pPr>
            <w:r>
              <w:rPr>
                <w:b w:val="false"/>
                <w:bCs w:val="false"/>
                <w:color w:val="000000"/>
              </w:rPr>
              <w:t xml:space="preserve">1–2 NVIDIA GPUs (A100/RTX 4090 class) for LoRA fine-tuning; CPU-only fallback for inference-only demo using quantised (4-bit) models</w:t>
            </w:r>
          </w:p>
        </w:tc>
      </w:tr>
    </w:tbl>
    <w:p>
      <w:pPr>
        <w:pStyle w:val="Heading1"/>
        <w:spacing w:after="160" w:before="360"/>
      </w:pPr>
      <w:r>
        <w:t xml:space="preserve">7. Step-by-Step Implementation Plan</w:t>
      </w:r>
    </w:p>
    <w:p>
      <w:pPr>
        <w:spacing w:after="140" w:line="300"/>
      </w:pPr>
      <w:r>
        <w:t xml:space="preserve">A phase-wise plan suitable for a hackathon build cycle (pre-event research through final demo):</w:t>
      </w:r>
    </w:p>
    <w:p>
      <w:pPr>
        <w:pStyle w:val="Heading2"/>
        <w:spacing w:after="120" w:before="260"/>
      </w:pPr>
      <w:r>
        <w:t xml:space="preserve">Phase 1 — Research &amp; Setup (Days 1–2)</w:t>
      </w:r>
    </w:p>
    <w:p>
      <w:pPr>
        <w:pStyle w:val="ListParagraph"/>
        <w:numPr>
          <w:ilvl w:val="0"/>
          <w:numId w:val="2"/>
        </w:numPr>
        <w:spacing w:after="90" w:line="290"/>
      </w:pPr>
      <w:r>
        <w:t xml:space="preserve">Study reference architectures: GeoChat, RS-LLaVA, EarthGPT, RSGPT and their published training recipes.</w:t>
      </w:r>
    </w:p>
    <w:p>
      <w:pPr>
        <w:pStyle w:val="ListParagraph"/>
        <w:numPr>
          <w:ilvl w:val="0"/>
          <w:numId w:val="2"/>
        </w:numPr>
        <w:spacing w:after="90" w:line="290"/>
      </w:pPr>
      <w:r>
        <w:t xml:space="preserve">Finalise scope: which tasks to support first (recommend starting with Captioning + VQA + Detection, adding Change Detection later if time permits).</w:t>
      </w:r>
    </w:p>
    <w:p>
      <w:pPr>
        <w:pStyle w:val="ListParagraph"/>
        <w:numPr>
          <w:ilvl w:val="0"/>
          <w:numId w:val="2"/>
        </w:numPr>
        <w:spacing w:after="90" w:line="290"/>
      </w:pPr>
      <w:r>
        <w:t xml:space="preserve">Set up environment: GPU access (Colab Pro/Kaggle/college cluster/cloud credits), repository structure, experiment tracking.</w:t>
      </w:r>
    </w:p>
    <w:p>
      <w:pPr>
        <w:pStyle w:val="ListParagraph"/>
        <w:numPr>
          <w:ilvl w:val="0"/>
          <w:numId w:val="2"/>
        </w:numPr>
        <w:spacing w:after="90" w:line="290"/>
      </w:pPr>
      <w:r>
        <w:t xml:space="preserve">Download and inspect datasets (RSICD, RSVQA, NWPU-RESISC45, DOTA); write data-loading and pre-processing scripts.</w:t>
      </w:r>
    </w:p>
    <w:p>
      <w:pPr>
        <w:pStyle w:val="Heading2"/>
        <w:spacing w:after="120" w:before="260"/>
      </w:pPr>
      <w:r>
        <w:t xml:space="preserve">Phase 2 — Data Preparation (Days 2–3)</w:t>
      </w:r>
    </w:p>
    <w:p>
      <w:pPr>
        <w:pStyle w:val="ListParagraph"/>
        <w:numPr>
          <w:ilvl w:val="0"/>
          <w:numId w:val="2"/>
        </w:numPr>
        <w:spacing w:after="90" w:line="290"/>
      </w:pPr>
      <w:r>
        <w:t xml:space="preserve">Convert each dataset into a unified instruction format: {image, instruction/question, response}.</w:t>
      </w:r>
    </w:p>
    <w:p>
      <w:pPr>
        <w:pStyle w:val="ListParagraph"/>
        <w:numPr>
          <w:ilvl w:val="0"/>
          <w:numId w:val="2"/>
        </w:numPr>
        <w:spacing w:after="90" w:line="290"/>
      </w:pPr>
      <w:r>
        <w:t xml:space="preserve">Balance the mixture across tasks (captioning : VQA : classification : grounding) to avoid the model overfitting to one skill.</w:t>
      </w:r>
    </w:p>
    <w:p>
      <w:pPr>
        <w:pStyle w:val="ListParagraph"/>
        <w:numPr>
          <w:ilvl w:val="0"/>
          <w:numId w:val="2"/>
        </w:numPr>
        <w:spacing w:after="90" w:line="290"/>
      </w:pPr>
      <w:r>
        <w:t xml:space="preserve">Hold out a validation and test split per task for later evaluation.</w:t>
      </w:r>
    </w:p>
    <w:p>
      <w:pPr>
        <w:pStyle w:val="Heading2"/>
        <w:spacing w:after="120" w:before="260"/>
      </w:pPr>
      <w:r>
        <w:t xml:space="preserve">Phase 3 — Model Fine-Tuning (Days 3–5)</w:t>
      </w:r>
    </w:p>
    <w:p>
      <w:pPr>
        <w:pStyle w:val="ListParagraph"/>
        <w:numPr>
          <w:ilvl w:val="0"/>
          <w:numId w:val="2"/>
        </w:numPr>
        <w:spacing w:after="90" w:line="290"/>
      </w:pPr>
      <w:r>
        <w:t xml:space="preserve">Load a pretrained open VLM (e.g., LLaVA-1.5-7B or Qwen2.5-VL-7B) and its vision encoder.</w:t>
      </w:r>
    </w:p>
    <w:p>
      <w:pPr>
        <w:pStyle w:val="ListParagraph"/>
        <w:numPr>
          <w:ilvl w:val="0"/>
          <w:numId w:val="2"/>
        </w:numPr>
        <w:spacing w:after="90" w:line="290"/>
      </w:pPr>
      <w:r>
        <w:t xml:space="preserve">Attach LoRA adapters to the language model's attention/MLP layers (rank 16–64) and optionally fine-tune the vision-language projector fully.</w:t>
      </w:r>
    </w:p>
    <w:p>
      <w:pPr>
        <w:pStyle w:val="ListParagraph"/>
        <w:numPr>
          <w:ilvl w:val="0"/>
          <w:numId w:val="2"/>
        </w:numPr>
        <w:spacing w:after="90" w:line="290"/>
      </w:pPr>
      <w:r>
        <w:t xml:space="preserve">Train with a multi-task instruction-tuning objective (next-token cross-entropy on the answer tokens only, masking the prompt).</w:t>
      </w:r>
    </w:p>
    <w:p>
      <w:pPr>
        <w:pStyle w:val="ListParagraph"/>
        <w:numPr>
          <w:ilvl w:val="0"/>
          <w:numId w:val="2"/>
        </w:numPr>
        <w:spacing w:after="90" w:line="290"/>
      </w:pPr>
      <w:r>
        <w:t xml:space="preserve">Monitor validation loss per task; checkpoint regularly; log samples to catch hallucination early.</w:t>
      </w:r>
    </w:p>
    <w:p>
      <w:pPr>
        <w:pStyle w:val="ListParagraph"/>
        <w:numPr>
          <w:ilvl w:val="0"/>
          <w:numId w:val="2"/>
        </w:numPr>
        <w:spacing w:after="90" w:line="290"/>
      </w:pPr>
      <w:r>
        <w:t xml:space="preserve">In parallel, fine-tune the object-detection model (YOLOv8) on DOTA/NWPU VHR-10 for the tool-calling detector.</w:t>
      </w:r>
    </w:p>
    <w:p>
      <w:pPr>
        <w:pStyle w:val="Heading2"/>
        <w:spacing w:after="120" w:before="260"/>
      </w:pPr>
      <w:r>
        <w:t xml:space="preserve">Phase 4 — Tool Integration &amp; Orchestration (Days 5–6)</w:t>
      </w:r>
    </w:p>
    <w:p>
      <w:pPr>
        <w:pStyle w:val="ListParagraph"/>
        <w:numPr>
          <w:ilvl w:val="0"/>
          <w:numId w:val="2"/>
        </w:numPr>
        <w:spacing w:after="90" w:line="290"/>
      </w:pPr>
      <w:r>
        <w:t xml:space="preserve">Wrap the detector, segmentation model, and change-detection model as callable 'tools' with a well-defined input/output schema (JSON).</w:t>
      </w:r>
    </w:p>
    <w:p>
      <w:pPr>
        <w:pStyle w:val="ListParagraph"/>
        <w:numPr>
          <w:ilvl w:val="0"/>
          <w:numId w:val="2"/>
        </w:numPr>
        <w:spacing w:after="90" w:line="290"/>
      </w:pPr>
      <w:r>
        <w:t xml:space="preserve">Build the orchestration/agent logic: given a query, decide which tool(s) to call, then feed tool outputs + image + query back into the VLM for final answer synthesis.</w:t>
      </w:r>
    </w:p>
    <w:p>
      <w:pPr>
        <w:pStyle w:val="ListParagraph"/>
        <w:numPr>
          <w:ilvl w:val="0"/>
          <w:numId w:val="2"/>
        </w:numPr>
        <w:spacing w:after="90" w:line="290"/>
      </w:pPr>
      <w:r>
        <w:t xml:space="preserve">Implement grounding: map any bounding boxes/regions mentioned in the answer back to pixel coordinates for overlay rendering.</w:t>
      </w:r>
    </w:p>
    <w:p>
      <w:pPr>
        <w:pStyle w:val="Heading2"/>
        <w:spacing w:after="120" w:before="260"/>
      </w:pPr>
      <w:r>
        <w:t xml:space="preserve">Phase 5 — Application Development (Days 6–7)</w:t>
      </w:r>
    </w:p>
    <w:p>
      <w:pPr>
        <w:pStyle w:val="ListParagraph"/>
        <w:numPr>
          <w:ilvl w:val="0"/>
          <w:numId w:val="2"/>
        </w:numPr>
        <w:spacing w:after="90" w:line="290"/>
      </w:pPr>
      <w:r>
        <w:t xml:space="preserve">Build the frontend: image upload / map-based location picker, chat interface, and an overlay canvas to draw detection boxes/masks on the image.</w:t>
      </w:r>
    </w:p>
    <w:p>
      <w:pPr>
        <w:pStyle w:val="ListParagraph"/>
        <w:numPr>
          <w:ilvl w:val="0"/>
          <w:numId w:val="2"/>
        </w:numPr>
        <w:spacing w:after="90" w:line="290"/>
      </w:pPr>
      <w:r>
        <w:t xml:space="preserve">Build the backend API (FastAPI) exposing endpoints: /upload, /query, /history, and connect it to the model-serving layer.</w:t>
      </w:r>
    </w:p>
    <w:p>
      <w:pPr>
        <w:pStyle w:val="ListParagraph"/>
        <w:numPr>
          <w:ilvl w:val="0"/>
          <w:numId w:val="2"/>
        </w:numPr>
        <w:spacing w:after="90" w:line="290"/>
      </w:pPr>
      <w:r>
        <w:t xml:space="preserve">Add conversation/session memory so follow-up questions reference the same image context.</w:t>
      </w:r>
    </w:p>
    <w:p>
      <w:pPr>
        <w:pStyle w:val="Heading2"/>
        <w:spacing w:after="120" w:before="260"/>
      </w:pPr>
      <w:r>
        <w:t xml:space="preserve">Phase 6 — Evaluation &amp; Refinement (Days 7–8)</w:t>
      </w:r>
    </w:p>
    <w:p>
      <w:pPr>
        <w:pStyle w:val="ListParagraph"/>
        <w:numPr>
          <w:ilvl w:val="0"/>
          <w:numId w:val="2"/>
        </w:numPr>
        <w:spacing w:after="90" w:line="290"/>
      </w:pPr>
      <w:r>
        <w:t xml:space="preserve">Run quantitative evaluation (see Section 8) on held-out test sets per task.</w:t>
      </w:r>
    </w:p>
    <w:p>
      <w:pPr>
        <w:pStyle w:val="ListParagraph"/>
        <w:numPr>
          <w:ilvl w:val="0"/>
          <w:numId w:val="2"/>
        </w:numPr>
        <w:spacing w:after="90" w:line="290"/>
      </w:pPr>
      <w:r>
        <w:t xml:space="preserve">Conduct qualitative review: manually inspect 30–50 diverse queries for hallucination, counting accuracy, and grounding correctness.</w:t>
      </w:r>
    </w:p>
    <w:p>
      <w:pPr>
        <w:pStyle w:val="ListParagraph"/>
        <w:numPr>
          <w:ilvl w:val="0"/>
          <w:numId w:val="2"/>
        </w:numPr>
        <w:spacing w:after="90" w:line="290"/>
      </w:pPr>
      <w:r>
        <w:t xml:space="preserve">Fix failure modes: prompt-engineer the orchestrator, add few-shot exemplars, or targeted fine-tuning on error cases.</w:t>
      </w:r>
    </w:p>
    <w:p>
      <w:pPr>
        <w:pStyle w:val="Heading2"/>
        <w:spacing w:after="120" w:before="260"/>
      </w:pPr>
      <w:r>
        <w:t xml:space="preserve">Phase 7 — Demo &amp; Presentation (Final Days)</w:t>
      </w:r>
    </w:p>
    <w:p>
      <w:pPr>
        <w:pStyle w:val="ListParagraph"/>
        <w:numPr>
          <w:ilvl w:val="0"/>
          <w:numId w:val="2"/>
        </w:numPr>
        <w:spacing w:after="90" w:line="290"/>
      </w:pPr>
      <w:r>
        <w:t xml:space="preserve">Prepare 3–4 compelling demo scenarios (e.g., port ship-counting, deforestation change-detection, flood extent mapping, urban land-use query).</w:t>
      </w:r>
    </w:p>
    <w:p>
      <w:pPr>
        <w:pStyle w:val="ListParagraph"/>
        <w:numPr>
          <w:ilvl w:val="0"/>
          <w:numId w:val="2"/>
        </w:numPr>
        <w:spacing w:after="90" w:line="290"/>
      </w:pPr>
      <w:r>
        <w:t xml:space="preserve">Prepare architecture diagram, dataset/technique summary slide, and a live or recorded demo video as a fallback.</w:t>
      </w:r>
    </w:p>
    <w:p>
      <w:pPr>
        <w:pStyle w:val="ListParagraph"/>
        <w:numPr>
          <w:ilvl w:val="0"/>
          <w:numId w:val="2"/>
        </w:numPr>
        <w:spacing w:after="90" w:line="290"/>
      </w:pPr>
      <w:r>
        <w:t xml:space="preserve">Highlight novelty, feasibility, and impact clearly for judges (see Section 10).</w:t>
      </w:r>
    </w:p>
    <w:p>
      <w:pPr>
        <w:pStyle w:val="Heading1"/>
        <w:spacing w:after="160" w:before="360"/>
      </w:pPr>
      <w:r>
        <w:t xml:space="preserve">8. Evaluation Metrics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F4E79" w:val="clear"/>
            <w:tcMar>
              <w:top w:type="dxa" w:w="100"/>
              <w:left w:type="dxa" w:w="120"/>
              <w:bottom w:type="dxa" w:w="100"/>
              <w:right w:type="dxa" w:w="120"/>
            </w:tcMar>
            <w:vAlign w:val="center"/>
          </w:tcPr>
          <w:p>
            <w:pPr>
              <w:jc w:val="left"/>
            </w:pPr>
            <w:r>
              <w:rPr>
                <w:b/>
                <w:bCs/>
                <w:color w:val="FFFFFF"/>
              </w:rPr>
              <w:t xml:space="preserve">Task</w:t>
            </w:r>
          </w:p>
        </w:tc>
        <w:tc>
          <w:tcPr>
            <w:tcW w:type="dxa" w:w="6800"/>
            <w:shd w:fill="1F4E79" w:val="clear"/>
            <w:tcMar>
              <w:top w:type="dxa" w:w="100"/>
              <w:left w:type="dxa" w:w="120"/>
              <w:bottom w:type="dxa" w:w="100"/>
              <w:right w:type="dxa" w:w="120"/>
            </w:tcMar>
            <w:vAlign w:val="center"/>
          </w:tcPr>
          <w:p>
            <w:pPr>
              <w:jc w:val="left"/>
            </w:pPr>
            <w:r>
              <w:rPr>
                <w:b/>
                <w:bCs/>
                <w:color w:val="FFFFFF"/>
              </w:rPr>
              <w:t xml:space="preserve">Metric(s)</w:t>
            </w:r>
          </w:p>
        </w:tc>
      </w:tr>
      <w:tr>
        <w:tc>
          <w:tcPr>
            <w:tcW w:type="dxa" w:w="3000"/>
            <w:tcMar>
              <w:top w:type="dxa" w:w="100"/>
              <w:left w:type="dxa" w:w="120"/>
              <w:bottom w:type="dxa" w:w="100"/>
              <w:right w:type="dxa" w:w="120"/>
            </w:tcMar>
            <w:vAlign w:val="center"/>
          </w:tcPr>
          <w:p>
            <w:pPr>
              <w:jc w:val="left"/>
            </w:pPr>
            <w:r>
              <w:rPr>
                <w:b w:val="false"/>
                <w:bCs w:val="false"/>
                <w:color w:val="000000"/>
              </w:rPr>
              <w:t xml:space="preserve">Image Captioning</w:t>
            </w:r>
          </w:p>
        </w:tc>
        <w:tc>
          <w:tcPr>
            <w:tcW w:type="dxa" w:w="6800"/>
            <w:tcMar>
              <w:top w:type="dxa" w:w="100"/>
              <w:left w:type="dxa" w:w="120"/>
              <w:bottom w:type="dxa" w:w="100"/>
              <w:right w:type="dxa" w:w="120"/>
            </w:tcMar>
            <w:vAlign w:val="center"/>
          </w:tcPr>
          <w:p>
            <w:pPr>
              <w:jc w:val="left"/>
            </w:pPr>
            <w:r>
              <w:rPr>
                <w:b w:val="false"/>
                <w:bCs w:val="false"/>
                <w:color w:val="000000"/>
              </w:rPr>
              <w:t xml:space="preserve">BLEU-4, METEOR, ROUGE-L, CIDEr</w:t>
            </w:r>
          </w:p>
        </w:tc>
      </w:tr>
      <w:tr>
        <w:tc>
          <w:tcPr>
            <w:tcW w:type="dxa" w:w="3000"/>
            <w:shd w:fill="F2F2F2" w:val="clear"/>
            <w:tcMar>
              <w:top w:type="dxa" w:w="100"/>
              <w:left w:type="dxa" w:w="120"/>
              <w:bottom w:type="dxa" w:w="100"/>
              <w:right w:type="dxa" w:w="120"/>
            </w:tcMar>
            <w:vAlign w:val="center"/>
          </w:tcPr>
          <w:p>
            <w:pPr>
              <w:jc w:val="left"/>
            </w:pPr>
            <w:r>
              <w:rPr>
                <w:b w:val="false"/>
                <w:bCs w:val="false"/>
                <w:color w:val="000000"/>
              </w:rPr>
              <w:t xml:space="preserve">Visual Question Answering</w:t>
            </w:r>
          </w:p>
        </w:tc>
        <w:tc>
          <w:tcPr>
            <w:tcW w:type="dxa" w:w="6800"/>
            <w:shd w:fill="F2F2F2" w:val="clear"/>
            <w:tcMar>
              <w:top w:type="dxa" w:w="100"/>
              <w:left w:type="dxa" w:w="120"/>
              <w:bottom w:type="dxa" w:w="100"/>
              <w:right w:type="dxa" w:w="120"/>
            </w:tcMar>
            <w:vAlign w:val="center"/>
          </w:tcPr>
          <w:p>
            <w:pPr>
              <w:jc w:val="left"/>
            </w:pPr>
            <w:r>
              <w:rPr>
                <w:b w:val="false"/>
                <w:bCs w:val="false"/>
                <w:color w:val="000000"/>
              </w:rPr>
              <w:t xml:space="preserve">Exact-match Accuracy, Overall/Per-category Accuracy (as in RSVQA benchmark)</w:t>
            </w:r>
          </w:p>
        </w:tc>
      </w:tr>
      <w:tr>
        <w:tc>
          <w:tcPr>
            <w:tcW w:type="dxa" w:w="3000"/>
            <w:tcMar>
              <w:top w:type="dxa" w:w="100"/>
              <w:left w:type="dxa" w:w="120"/>
              <w:bottom w:type="dxa" w:w="100"/>
              <w:right w:type="dxa" w:w="120"/>
            </w:tcMar>
            <w:vAlign w:val="center"/>
          </w:tcPr>
          <w:p>
            <w:pPr>
              <w:jc w:val="left"/>
            </w:pPr>
            <w:r>
              <w:rPr>
                <w:b w:val="false"/>
                <w:bCs w:val="false"/>
                <w:color w:val="000000"/>
              </w:rPr>
              <w:t xml:space="preserve">Scene Classification</w:t>
            </w:r>
          </w:p>
        </w:tc>
        <w:tc>
          <w:tcPr>
            <w:tcW w:type="dxa" w:w="6800"/>
            <w:tcMar>
              <w:top w:type="dxa" w:w="100"/>
              <w:left w:type="dxa" w:w="120"/>
              <w:bottom w:type="dxa" w:w="100"/>
              <w:right w:type="dxa" w:w="120"/>
            </w:tcMar>
            <w:vAlign w:val="center"/>
          </w:tcPr>
          <w:p>
            <w:pPr>
              <w:jc w:val="left"/>
            </w:pPr>
            <w:r>
              <w:rPr>
                <w:b w:val="false"/>
                <w:bCs w:val="false"/>
                <w:color w:val="000000"/>
              </w:rPr>
              <w:t xml:space="preserve">Top-1 / Top-5 Accuracy, F1-score, Confusion Matrix</w:t>
            </w:r>
          </w:p>
        </w:tc>
      </w:tr>
      <w:tr>
        <w:tc>
          <w:tcPr>
            <w:tcW w:type="dxa" w:w="3000"/>
            <w:shd w:fill="F2F2F2" w:val="clear"/>
            <w:tcMar>
              <w:top w:type="dxa" w:w="100"/>
              <w:left w:type="dxa" w:w="120"/>
              <w:bottom w:type="dxa" w:w="100"/>
              <w:right w:type="dxa" w:w="120"/>
            </w:tcMar>
            <w:vAlign w:val="center"/>
          </w:tcPr>
          <w:p>
            <w:pPr>
              <w:jc w:val="left"/>
            </w:pPr>
            <w:r>
              <w:rPr>
                <w:b w:val="false"/>
                <w:bCs w:val="false"/>
                <w:color w:val="000000"/>
              </w:rPr>
              <w:t xml:space="preserve">Object Detection</w:t>
            </w:r>
          </w:p>
        </w:tc>
        <w:tc>
          <w:tcPr>
            <w:tcW w:type="dxa" w:w="6800"/>
            <w:shd w:fill="F2F2F2" w:val="clear"/>
            <w:tcMar>
              <w:top w:type="dxa" w:w="100"/>
              <w:left w:type="dxa" w:w="120"/>
              <w:bottom w:type="dxa" w:w="100"/>
              <w:right w:type="dxa" w:w="120"/>
            </w:tcMar>
            <w:vAlign w:val="center"/>
          </w:tcPr>
          <w:p>
            <w:pPr>
              <w:jc w:val="left"/>
            </w:pPr>
            <w:r>
              <w:rPr>
                <w:b w:val="false"/>
                <w:bCs w:val="false"/>
                <w:color w:val="000000"/>
              </w:rPr>
              <w:t xml:space="preserve">mAP@0.5, mAP@0.5:0.95, Precision/Recall</w:t>
            </w:r>
          </w:p>
        </w:tc>
      </w:tr>
      <w:tr>
        <w:tc>
          <w:tcPr>
            <w:tcW w:type="dxa" w:w="3000"/>
            <w:tcMar>
              <w:top w:type="dxa" w:w="100"/>
              <w:left w:type="dxa" w:w="120"/>
              <w:bottom w:type="dxa" w:w="100"/>
              <w:right w:type="dxa" w:w="120"/>
            </w:tcMar>
            <w:vAlign w:val="center"/>
          </w:tcPr>
          <w:p>
            <w:pPr>
              <w:jc w:val="left"/>
            </w:pPr>
            <w:r>
              <w:rPr>
                <w:b w:val="false"/>
                <w:bCs w:val="false"/>
                <w:color w:val="000000"/>
              </w:rPr>
              <w:t xml:space="preserve">Change Detection</w:t>
            </w:r>
          </w:p>
        </w:tc>
        <w:tc>
          <w:tcPr>
            <w:tcW w:type="dxa" w:w="6800"/>
            <w:tcMar>
              <w:top w:type="dxa" w:w="100"/>
              <w:left w:type="dxa" w:w="120"/>
              <w:bottom w:type="dxa" w:w="100"/>
              <w:right w:type="dxa" w:w="120"/>
            </w:tcMar>
            <w:vAlign w:val="center"/>
          </w:tcPr>
          <w:p>
            <w:pPr>
              <w:jc w:val="left"/>
            </w:pPr>
            <w:r>
              <w:rPr>
                <w:b w:val="false"/>
                <w:bCs w:val="false"/>
                <w:color w:val="000000"/>
              </w:rPr>
              <w:t xml:space="preserve">F1-score, IoU, Overall Accuracy on change masks</w:t>
            </w:r>
          </w:p>
        </w:tc>
      </w:tr>
      <w:tr>
        <w:tc>
          <w:tcPr>
            <w:tcW w:type="dxa" w:w="3000"/>
            <w:shd w:fill="F2F2F2" w:val="clear"/>
            <w:tcMar>
              <w:top w:type="dxa" w:w="100"/>
              <w:left w:type="dxa" w:w="120"/>
              <w:bottom w:type="dxa" w:w="100"/>
              <w:right w:type="dxa" w:w="120"/>
            </w:tcMar>
            <w:vAlign w:val="center"/>
          </w:tcPr>
          <w:p>
            <w:pPr>
              <w:jc w:val="left"/>
            </w:pPr>
            <w:r>
              <w:rPr>
                <w:b w:val="false"/>
                <w:bCs w:val="false"/>
                <w:color w:val="000000"/>
              </w:rPr>
              <w:t xml:space="preserve">Visual Grounding</w:t>
            </w:r>
          </w:p>
        </w:tc>
        <w:tc>
          <w:tcPr>
            <w:tcW w:type="dxa" w:w="6800"/>
            <w:shd w:fill="F2F2F2" w:val="clear"/>
            <w:tcMar>
              <w:top w:type="dxa" w:w="100"/>
              <w:left w:type="dxa" w:w="120"/>
              <w:bottom w:type="dxa" w:w="100"/>
              <w:right w:type="dxa" w:w="120"/>
            </w:tcMar>
            <w:vAlign w:val="center"/>
          </w:tcPr>
          <w:p>
            <w:pPr>
              <w:jc w:val="left"/>
            </w:pPr>
            <w:r>
              <w:rPr>
                <w:b w:val="false"/>
                <w:bCs w:val="false"/>
                <w:color w:val="000000"/>
              </w:rPr>
              <w:t xml:space="preserve">IoU@0.5 between predicted and ground-truth boxes</w:t>
            </w:r>
          </w:p>
        </w:tc>
      </w:tr>
      <w:tr>
        <w:tc>
          <w:tcPr>
            <w:tcW w:type="dxa" w:w="3000"/>
            <w:tcMar>
              <w:top w:type="dxa" w:w="100"/>
              <w:left w:type="dxa" w:w="120"/>
              <w:bottom w:type="dxa" w:w="100"/>
              <w:right w:type="dxa" w:w="120"/>
            </w:tcMar>
            <w:vAlign w:val="center"/>
          </w:tcPr>
          <w:p>
            <w:pPr>
              <w:jc w:val="left"/>
            </w:pPr>
            <w:r>
              <w:rPr>
                <w:b w:val="false"/>
                <w:bCs w:val="false"/>
                <w:color w:val="000000"/>
              </w:rPr>
              <w:t xml:space="preserve">System-level</w:t>
            </w:r>
          </w:p>
        </w:tc>
        <w:tc>
          <w:tcPr>
            <w:tcW w:type="dxa" w:w="6800"/>
            <w:tcMar>
              <w:top w:type="dxa" w:w="100"/>
              <w:left w:type="dxa" w:w="120"/>
              <w:bottom w:type="dxa" w:w="100"/>
              <w:right w:type="dxa" w:w="120"/>
            </w:tcMar>
            <w:vAlign w:val="center"/>
          </w:tcPr>
          <w:p>
            <w:pPr>
              <w:jc w:val="left"/>
            </w:pPr>
            <w:r>
              <w:rPr>
                <w:b w:val="false"/>
                <w:bCs w:val="false"/>
                <w:color w:val="000000"/>
              </w:rPr>
              <w:t xml:space="preserve">End-to-end latency, hallucination rate (human-annotated), user satisfaction score</w:t>
            </w:r>
          </w:p>
        </w:tc>
      </w:tr>
    </w:tbl>
    <w:p>
      <w:pPr>
        <w:pStyle w:val="Heading1"/>
        <w:spacing w:after="160" w:before="360"/>
      </w:pPr>
      <w:r>
        <w:t xml:space="preserve">9. Anticipated Challenges &amp; Mitigation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6400"/>
      </w:tblGrid>
      <w:tr>
        <w:trPr>
          <w:tblHeader/>
        </w:trPr>
        <w:tc>
          <w:tcPr>
            <w:tcW w:type="dxa" w:w="3400"/>
            <w:shd w:fill="1F4E79" w:val="clear"/>
            <w:tcMar>
              <w:top w:type="dxa" w:w="100"/>
              <w:left w:type="dxa" w:w="120"/>
              <w:bottom w:type="dxa" w:w="100"/>
              <w:right w:type="dxa" w:w="120"/>
            </w:tcMar>
            <w:vAlign w:val="center"/>
          </w:tcPr>
          <w:p>
            <w:pPr>
              <w:jc w:val="left"/>
            </w:pPr>
            <w:r>
              <w:rPr>
                <w:b/>
                <w:bCs/>
                <w:color w:val="FFFFFF"/>
              </w:rPr>
              <w:t xml:space="preserve">Challenge</w:t>
            </w:r>
          </w:p>
        </w:tc>
        <w:tc>
          <w:tcPr>
            <w:tcW w:type="dxa" w:w="6400"/>
            <w:shd w:fill="1F4E79" w:val="clear"/>
            <w:tcMar>
              <w:top w:type="dxa" w:w="100"/>
              <w:left w:type="dxa" w:w="120"/>
              <w:bottom w:type="dxa" w:w="100"/>
              <w:right w:type="dxa" w:w="120"/>
            </w:tcMar>
            <w:vAlign w:val="center"/>
          </w:tcPr>
          <w:p>
            <w:pPr>
              <w:jc w:val="left"/>
            </w:pPr>
            <w:r>
              <w:rPr>
                <w:b/>
                <w:bCs/>
                <w:color w:val="FFFFFF"/>
              </w:rPr>
              <w:t xml:space="preserve">Mitigation Strategy</w:t>
            </w:r>
          </w:p>
        </w:tc>
      </w:tr>
      <w:tr>
        <w:tc>
          <w:tcPr>
            <w:tcW w:type="dxa" w:w="3400"/>
            <w:tcMar>
              <w:top w:type="dxa" w:w="100"/>
              <w:left w:type="dxa" w:w="120"/>
              <w:bottom w:type="dxa" w:w="100"/>
              <w:right w:type="dxa" w:w="120"/>
            </w:tcMar>
            <w:vAlign w:val="center"/>
          </w:tcPr>
          <w:p>
            <w:pPr>
              <w:jc w:val="left"/>
            </w:pPr>
            <w:r>
              <w:rPr>
                <w:b w:val="false"/>
                <w:bCs w:val="false"/>
                <w:color w:val="000000"/>
              </w:rPr>
              <w:t xml:space="preserve">Domain gap between natural images and top-down RS imagery</w:t>
            </w:r>
          </w:p>
        </w:tc>
        <w:tc>
          <w:tcPr>
            <w:tcW w:type="dxa" w:w="6400"/>
            <w:tcMar>
              <w:top w:type="dxa" w:w="100"/>
              <w:left w:type="dxa" w:w="120"/>
              <w:bottom w:type="dxa" w:w="100"/>
              <w:right w:type="dxa" w:w="120"/>
            </w:tcMar>
            <w:vAlign w:val="center"/>
          </w:tcPr>
          <w:p>
            <w:pPr>
              <w:jc w:val="left"/>
            </w:pPr>
            <w:r>
              <w:rPr>
                <w:b w:val="false"/>
                <w:bCs w:val="false"/>
                <w:color w:val="000000"/>
              </w:rPr>
              <w:t xml:space="preserve">Fine-tune vision encoder/projector on RS-specific data; use RS-pretrained encoders (RemoteCLIP/GeoCLIP) instead of natural-image CLIP</w:t>
            </w:r>
          </w:p>
        </w:tc>
      </w:tr>
      <w:tr>
        <w:tc>
          <w:tcPr>
            <w:tcW w:type="dxa" w:w="3400"/>
            <w:shd w:fill="F2F2F2" w:val="clear"/>
            <w:tcMar>
              <w:top w:type="dxa" w:w="100"/>
              <w:left w:type="dxa" w:w="120"/>
              <w:bottom w:type="dxa" w:w="100"/>
              <w:right w:type="dxa" w:w="120"/>
            </w:tcMar>
            <w:vAlign w:val="center"/>
          </w:tcPr>
          <w:p>
            <w:pPr>
              <w:jc w:val="left"/>
            </w:pPr>
            <w:r>
              <w:rPr>
                <w:b w:val="false"/>
                <w:bCs w:val="false"/>
                <w:color w:val="000000"/>
              </w:rPr>
              <w:t xml:space="preserve">Small, dense objects at varying ground-sample-distance (GSD)</w:t>
            </w:r>
          </w:p>
        </w:tc>
        <w:tc>
          <w:tcPr>
            <w:tcW w:type="dxa" w:w="6400"/>
            <w:shd w:fill="F2F2F2" w:val="clear"/>
            <w:tcMar>
              <w:top w:type="dxa" w:w="100"/>
              <w:left w:type="dxa" w:w="120"/>
              <w:bottom w:type="dxa" w:w="100"/>
              <w:right w:type="dxa" w:w="120"/>
            </w:tcMar>
            <w:vAlign w:val="center"/>
          </w:tcPr>
          <w:p>
            <w:pPr>
              <w:jc w:val="left"/>
            </w:pPr>
            <w:r>
              <w:rPr>
                <w:b w:val="false"/>
                <w:bCs w:val="false"/>
                <w:color w:val="000000"/>
              </w:rPr>
              <w:t xml:space="preserve">Tile very high-resolution images before encoding; use detection models specialised for small-object aerial detection (oriented bounding boxes)</w:t>
            </w:r>
          </w:p>
        </w:tc>
      </w:tr>
      <w:tr>
        <w:tc>
          <w:tcPr>
            <w:tcW w:type="dxa" w:w="3400"/>
            <w:tcMar>
              <w:top w:type="dxa" w:w="100"/>
              <w:left w:type="dxa" w:w="120"/>
              <w:bottom w:type="dxa" w:w="100"/>
              <w:right w:type="dxa" w:w="120"/>
            </w:tcMar>
            <w:vAlign w:val="center"/>
          </w:tcPr>
          <w:p>
            <w:pPr>
              <w:jc w:val="left"/>
            </w:pPr>
            <w:r>
              <w:rPr>
                <w:b w:val="false"/>
                <w:bCs w:val="false"/>
                <w:color w:val="000000"/>
              </w:rPr>
              <w:t xml:space="preserve">Limited compute/time during hackathon</w:t>
            </w:r>
          </w:p>
        </w:tc>
        <w:tc>
          <w:tcPr>
            <w:tcW w:type="dxa" w:w="6400"/>
            <w:tcMar>
              <w:top w:type="dxa" w:w="100"/>
              <w:left w:type="dxa" w:w="120"/>
              <w:bottom w:type="dxa" w:w="100"/>
              <w:right w:type="dxa" w:w="120"/>
            </w:tcMar>
            <w:vAlign w:val="center"/>
          </w:tcPr>
          <w:p>
            <w:pPr>
              <w:jc w:val="left"/>
            </w:pPr>
            <w:r>
              <w:rPr>
                <w:b w:val="false"/>
                <w:bCs w:val="false"/>
                <w:color w:val="000000"/>
              </w:rPr>
              <w:t xml:space="preserve">Use parameter-efficient fine-tuning (LoRA/QLoRA) and 4-bit quantised inference; leverage existing pretrained RS-VLM checkpoints where available</w:t>
            </w:r>
          </w:p>
        </w:tc>
      </w:tr>
      <w:tr>
        <w:tc>
          <w:tcPr>
            <w:tcW w:type="dxa" w:w="3400"/>
            <w:shd w:fill="F2F2F2" w:val="clear"/>
            <w:tcMar>
              <w:top w:type="dxa" w:w="100"/>
              <w:left w:type="dxa" w:w="120"/>
              <w:bottom w:type="dxa" w:w="100"/>
              <w:right w:type="dxa" w:w="120"/>
            </w:tcMar>
            <w:vAlign w:val="center"/>
          </w:tcPr>
          <w:p>
            <w:pPr>
              <w:jc w:val="left"/>
            </w:pPr>
            <w:r>
              <w:rPr>
                <w:b w:val="false"/>
                <w:bCs w:val="false"/>
                <w:color w:val="000000"/>
              </w:rPr>
              <w:t xml:space="preserve">Model hallucination on counts/measurements</w:t>
            </w:r>
          </w:p>
        </w:tc>
        <w:tc>
          <w:tcPr>
            <w:tcW w:type="dxa" w:w="6400"/>
            <w:shd w:fill="F2F2F2" w:val="clear"/>
            <w:tcMar>
              <w:top w:type="dxa" w:w="100"/>
              <w:left w:type="dxa" w:w="120"/>
              <w:bottom w:type="dxa" w:w="100"/>
              <w:right w:type="dxa" w:w="120"/>
            </w:tcMar>
            <w:vAlign w:val="center"/>
          </w:tcPr>
          <w:p>
            <w:pPr>
              <w:jc w:val="left"/>
            </w:pPr>
            <w:r>
              <w:rPr>
                <w:b w:val="false"/>
                <w:bCs w:val="false"/>
                <w:color w:val="000000"/>
              </w:rPr>
              <w:t xml:space="preserve">Ground numeric answers in deterministic CV tool outputs (detector/segmenter) rather than free-form generation</w:t>
            </w:r>
          </w:p>
        </w:tc>
      </w:tr>
      <w:tr>
        <w:tc>
          <w:tcPr>
            <w:tcW w:type="dxa" w:w="3400"/>
            <w:tcMar>
              <w:top w:type="dxa" w:w="100"/>
              <w:left w:type="dxa" w:w="120"/>
              <w:bottom w:type="dxa" w:w="100"/>
              <w:right w:type="dxa" w:w="120"/>
            </w:tcMar>
            <w:vAlign w:val="center"/>
          </w:tcPr>
          <w:p>
            <w:pPr>
              <w:jc w:val="left"/>
            </w:pPr>
            <w:r>
              <w:rPr>
                <w:b w:val="false"/>
                <w:bCs w:val="false"/>
                <w:color w:val="000000"/>
              </w:rPr>
              <w:t xml:space="preserve">Multi-sensor data (SAR, multispectral) handling</w:t>
            </w:r>
          </w:p>
        </w:tc>
        <w:tc>
          <w:tcPr>
            <w:tcW w:type="dxa" w:w="6400"/>
            <w:tcMar>
              <w:top w:type="dxa" w:w="100"/>
              <w:left w:type="dxa" w:w="120"/>
              <w:bottom w:type="dxa" w:w="100"/>
              <w:right w:type="dxa" w:w="120"/>
            </w:tcMar>
            <w:vAlign w:val="center"/>
          </w:tcPr>
          <w:p>
            <w:pPr>
              <w:jc w:val="left"/>
            </w:pPr>
            <w:r>
              <w:rPr>
                <w:b w:val="false"/>
                <w:bCs w:val="false"/>
                <w:color w:val="000000"/>
              </w:rPr>
              <w:t xml:space="preserve">Start with optical/RGB only for MVP; add a separate SAR-specific encoder or band-stacking pre-processing as a stretch goal</w:t>
            </w:r>
          </w:p>
        </w:tc>
      </w:tr>
      <w:tr>
        <w:tc>
          <w:tcPr>
            <w:tcW w:type="dxa" w:w="3400"/>
            <w:shd w:fill="F2F2F2" w:val="clear"/>
            <w:tcMar>
              <w:top w:type="dxa" w:w="100"/>
              <w:left w:type="dxa" w:w="120"/>
              <w:bottom w:type="dxa" w:w="100"/>
              <w:right w:type="dxa" w:w="120"/>
            </w:tcMar>
            <w:vAlign w:val="center"/>
          </w:tcPr>
          <w:p>
            <w:pPr>
              <w:jc w:val="left"/>
            </w:pPr>
            <w:r>
              <w:rPr>
                <w:b w:val="false"/>
                <w:bCs w:val="false"/>
                <w:color w:val="000000"/>
              </w:rPr>
              <w:t xml:space="preserve">Evaluation data scarcity for novel query types</w:t>
            </w:r>
          </w:p>
        </w:tc>
        <w:tc>
          <w:tcPr>
            <w:tcW w:type="dxa" w:w="6400"/>
            <w:shd w:fill="F2F2F2" w:val="clear"/>
            <w:tcMar>
              <w:top w:type="dxa" w:w="100"/>
              <w:left w:type="dxa" w:w="120"/>
              <w:bottom w:type="dxa" w:w="100"/>
              <w:right w:type="dxa" w:w="120"/>
            </w:tcMar>
            <w:vAlign w:val="center"/>
          </w:tcPr>
          <w:p>
            <w:pPr>
              <w:jc w:val="left"/>
            </w:pPr>
            <w:r>
              <w:rPr>
                <w:b w:val="false"/>
                <w:bCs w:val="false"/>
                <w:color w:val="000000"/>
              </w:rPr>
              <w:t xml:space="preserve">Use existing benchmarks (RSVQA, RSICD) for core metrics; conduct human evaluation for open-ended/creative queries</w:t>
            </w:r>
          </w:p>
        </w:tc>
      </w:tr>
    </w:tbl>
    <w:p>
      <w:pPr>
        <w:pStyle w:val="Heading1"/>
        <w:spacing w:after="160" w:before="360"/>
      </w:pPr>
      <w:r>
        <w:t xml:space="preserve">10. Novelty &amp; Differentiators (For Judges)</w:t>
      </w:r>
    </w:p>
    <w:p>
      <w:pPr>
        <w:pStyle w:val="ListParagraph"/>
        <w:numPr>
          <w:ilvl w:val="0"/>
          <w:numId w:val="2"/>
        </w:numPr>
        <w:spacing w:after="90" w:line="290"/>
      </w:pPr>
      <w:r>
        <w:t xml:space="preserve">Unified conversational interface across multiple RS tasks (captioning, VQA, detection, change-detection) instead of siloed single-purpose tools.</w:t>
      </w:r>
    </w:p>
    <w:p>
      <w:pPr>
        <w:pStyle w:val="ListParagraph"/>
        <w:numPr>
          <w:ilvl w:val="0"/>
          <w:numId w:val="2"/>
        </w:numPr>
        <w:spacing w:after="90" w:line="290"/>
      </w:pPr>
      <w:r>
        <w:t xml:space="preserve">Tool-grounded reasoning: combines a language model's flexibility with deterministic CV tool outputs, reducing hallucination and improving numeric precision.</w:t>
      </w:r>
    </w:p>
    <w:p>
      <w:pPr>
        <w:pStyle w:val="ListParagraph"/>
        <w:numPr>
          <w:ilvl w:val="0"/>
          <w:numId w:val="2"/>
        </w:numPr>
        <w:spacing w:after="90" w:line="290"/>
      </w:pPr>
      <w:r>
        <w:t xml:space="preserve">Visual grounding of answers directly on the image (bounding boxes/masks), making outputs explainable and trustworthy for analysts/decision-makers.</w:t>
      </w:r>
    </w:p>
    <w:p>
      <w:pPr>
        <w:pStyle w:val="ListParagraph"/>
        <w:numPr>
          <w:ilvl w:val="0"/>
          <w:numId w:val="2"/>
        </w:numPr>
        <w:spacing w:after="90" w:line="290"/>
      </w:pPr>
      <w:r>
        <w:t xml:space="preserve">Multi-turn, context-aware interaction that mirrors how a human GIS analyst would be consulted, lowering the barrier for non-expert users (disaster-management officials, agriculture departments, urban planners).</w:t>
      </w:r>
    </w:p>
    <w:p>
      <w:pPr>
        <w:pStyle w:val="ListParagraph"/>
        <w:numPr>
          <w:ilvl w:val="0"/>
          <w:numId w:val="2"/>
        </w:numPr>
        <w:spacing w:after="90" w:line="290"/>
      </w:pPr>
      <w:r>
        <w:t xml:space="preserve">Efficient, hackathon-feasible training approach (LoRA/QLoRA fine-tuning of open models) rather than requiring foundation-model-scale compute.</w:t>
      </w:r>
    </w:p>
    <w:p>
      <w:pPr>
        <w:pStyle w:val="Heading1"/>
        <w:spacing w:after="160" w:before="360"/>
      </w:pPr>
      <w:r>
        <w:t xml:space="preserve">11. Potential Use Cases / Impact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700"/>
      </w:tblGrid>
      <w:tr>
        <w:trPr>
          <w:tblHeader/>
        </w:trPr>
        <w:tc>
          <w:tcPr>
            <w:tcW w:type="dxa" w:w="2300"/>
            <w:shd w:fill="1F4E79" w:val="clear"/>
            <w:tcMar>
              <w:top w:type="dxa" w:w="100"/>
              <w:left w:type="dxa" w:w="120"/>
              <w:bottom w:type="dxa" w:w="100"/>
              <w:right w:type="dxa" w:w="120"/>
            </w:tcMar>
            <w:vAlign w:val="center"/>
          </w:tcPr>
          <w:p>
            <w:pPr>
              <w:jc w:val="left"/>
            </w:pPr>
            <w:r>
              <w:rPr>
                <w:b/>
                <w:bCs/>
                <w:color w:val="FFFFFF"/>
              </w:rPr>
              <w:t xml:space="preserve">Sector</w:t>
            </w:r>
          </w:p>
        </w:tc>
        <w:tc>
          <w:tcPr>
            <w:tcW w:type="dxa" w:w="3800"/>
            <w:shd w:fill="1F4E79" w:val="clear"/>
            <w:tcMar>
              <w:top w:type="dxa" w:w="100"/>
              <w:left w:type="dxa" w:w="120"/>
              <w:bottom w:type="dxa" w:w="100"/>
              <w:right w:type="dxa" w:w="120"/>
            </w:tcMar>
            <w:vAlign w:val="center"/>
          </w:tcPr>
          <w:p>
            <w:pPr>
              <w:jc w:val="left"/>
            </w:pPr>
            <w:r>
              <w:rPr>
                <w:b/>
                <w:bCs/>
                <w:color w:val="FFFFFF"/>
              </w:rPr>
              <w:t xml:space="preserve">Example Query</w:t>
            </w:r>
          </w:p>
        </w:tc>
        <w:tc>
          <w:tcPr>
            <w:tcW w:type="dxa" w:w="3700"/>
            <w:shd w:fill="1F4E79" w:val="clear"/>
            <w:tcMar>
              <w:top w:type="dxa" w:w="100"/>
              <w:left w:type="dxa" w:w="120"/>
              <w:bottom w:type="dxa" w:w="100"/>
              <w:right w:type="dxa" w:w="120"/>
            </w:tcMar>
            <w:vAlign w:val="center"/>
          </w:tcPr>
          <w:p>
            <w:pPr>
              <w:jc w:val="left"/>
            </w:pPr>
            <w:r>
              <w:rPr>
                <w:b/>
                <w:bCs/>
                <w:color w:val="FFFFFF"/>
              </w:rPr>
              <w:t xml:space="preserve">Value Delivered</w:t>
            </w:r>
          </w:p>
        </w:tc>
      </w:tr>
      <w:tr>
        <w:tc>
          <w:tcPr>
            <w:tcW w:type="dxa" w:w="2300"/>
            <w:tcMar>
              <w:top w:type="dxa" w:w="100"/>
              <w:left w:type="dxa" w:w="120"/>
              <w:bottom w:type="dxa" w:w="100"/>
              <w:right w:type="dxa" w:w="120"/>
            </w:tcMar>
            <w:vAlign w:val="center"/>
          </w:tcPr>
          <w:p>
            <w:pPr>
              <w:jc w:val="left"/>
            </w:pPr>
            <w:r>
              <w:rPr>
                <w:b w:val="false"/>
                <w:bCs w:val="false"/>
                <w:color w:val="000000"/>
              </w:rPr>
              <w:t xml:space="preserve">Disaster Management</w:t>
            </w:r>
          </w:p>
        </w:tc>
        <w:tc>
          <w:tcPr>
            <w:tcW w:type="dxa" w:w="3800"/>
            <w:tcMar>
              <w:top w:type="dxa" w:w="100"/>
              <w:left w:type="dxa" w:w="120"/>
              <w:bottom w:type="dxa" w:w="100"/>
              <w:right w:type="dxa" w:w="120"/>
            </w:tcMar>
            <w:vAlign w:val="center"/>
          </w:tcPr>
          <w:p>
            <w:pPr>
              <w:jc w:val="left"/>
            </w:pPr>
            <w:r>
              <w:rPr>
                <w:b w:val="false"/>
                <w:bCs w:val="false"/>
                <w:color w:val="000000"/>
              </w:rPr>
              <w:t xml:space="preserve">"Show me flooded regions in this district compared to last week."</w:t>
            </w:r>
          </w:p>
        </w:tc>
        <w:tc>
          <w:tcPr>
            <w:tcW w:type="dxa" w:w="3700"/>
            <w:tcMar>
              <w:top w:type="dxa" w:w="100"/>
              <w:left w:type="dxa" w:w="120"/>
              <w:bottom w:type="dxa" w:w="100"/>
              <w:right w:type="dxa" w:w="120"/>
            </w:tcMar>
            <w:vAlign w:val="center"/>
          </w:tcPr>
          <w:p>
            <w:pPr>
              <w:jc w:val="left"/>
            </w:pPr>
            <w:r>
              <w:rPr>
                <w:b w:val="false"/>
                <w:bCs w:val="false"/>
                <w:color w:val="000000"/>
              </w:rPr>
              <w:t xml:space="preserve">Faster situational awareness for relief teams</w:t>
            </w:r>
          </w:p>
        </w:tc>
      </w:tr>
      <w:tr>
        <w:tc>
          <w:tcPr>
            <w:tcW w:type="dxa" w:w="2300"/>
            <w:shd w:fill="F2F2F2" w:val="clear"/>
            <w:tcMar>
              <w:top w:type="dxa" w:w="100"/>
              <w:left w:type="dxa" w:w="120"/>
              <w:bottom w:type="dxa" w:w="100"/>
              <w:right w:type="dxa" w:w="120"/>
            </w:tcMar>
            <w:vAlign w:val="center"/>
          </w:tcPr>
          <w:p>
            <w:pPr>
              <w:jc w:val="left"/>
            </w:pPr>
            <w:r>
              <w:rPr>
                <w:b w:val="false"/>
                <w:bCs w:val="false"/>
                <w:color w:val="000000"/>
              </w:rPr>
              <w:t xml:space="preserve">Agriculture</w:t>
            </w:r>
          </w:p>
        </w:tc>
        <w:tc>
          <w:tcPr>
            <w:tcW w:type="dxa" w:w="3800"/>
            <w:shd w:fill="F2F2F2" w:val="clear"/>
            <w:tcMar>
              <w:top w:type="dxa" w:w="100"/>
              <w:left w:type="dxa" w:w="120"/>
              <w:bottom w:type="dxa" w:w="100"/>
              <w:right w:type="dxa" w:w="120"/>
            </w:tcMar>
            <w:vAlign w:val="center"/>
          </w:tcPr>
          <w:p>
            <w:pPr>
              <w:jc w:val="left"/>
            </w:pPr>
            <w:r>
              <w:rPr>
                <w:b w:val="false"/>
                <w:bCs w:val="false"/>
                <w:color w:val="000000"/>
              </w:rPr>
              <w:t xml:space="preserve">"What is the crop health status of this field?"</w:t>
            </w:r>
          </w:p>
        </w:tc>
        <w:tc>
          <w:tcPr>
            <w:tcW w:type="dxa" w:w="3700"/>
            <w:shd w:fill="F2F2F2" w:val="clear"/>
            <w:tcMar>
              <w:top w:type="dxa" w:w="100"/>
              <w:left w:type="dxa" w:w="120"/>
              <w:bottom w:type="dxa" w:w="100"/>
              <w:right w:type="dxa" w:w="120"/>
            </w:tcMar>
            <w:vAlign w:val="center"/>
          </w:tcPr>
          <w:p>
            <w:pPr>
              <w:jc w:val="left"/>
            </w:pPr>
            <w:r>
              <w:rPr>
                <w:b w:val="false"/>
                <w:bCs w:val="false"/>
                <w:color w:val="000000"/>
              </w:rPr>
              <w:t xml:space="preserve">Early stress/disease detection for farmers &amp; agri-departments</w:t>
            </w:r>
          </w:p>
        </w:tc>
      </w:tr>
      <w:tr>
        <w:tc>
          <w:tcPr>
            <w:tcW w:type="dxa" w:w="2300"/>
            <w:tcMar>
              <w:top w:type="dxa" w:w="100"/>
              <w:left w:type="dxa" w:w="120"/>
              <w:bottom w:type="dxa" w:w="100"/>
              <w:right w:type="dxa" w:w="120"/>
            </w:tcMar>
            <w:vAlign w:val="center"/>
          </w:tcPr>
          <w:p>
            <w:pPr>
              <w:jc w:val="left"/>
            </w:pPr>
            <w:r>
              <w:rPr>
                <w:b w:val="false"/>
                <w:bCs w:val="false"/>
                <w:color w:val="000000"/>
              </w:rPr>
              <w:t xml:space="preserve">Urban Planning</w:t>
            </w:r>
          </w:p>
        </w:tc>
        <w:tc>
          <w:tcPr>
            <w:tcW w:type="dxa" w:w="3800"/>
            <w:tcMar>
              <w:top w:type="dxa" w:w="100"/>
              <w:left w:type="dxa" w:w="120"/>
              <w:bottom w:type="dxa" w:w="100"/>
              <w:right w:type="dxa" w:w="120"/>
            </w:tcMar>
            <w:vAlign w:val="center"/>
          </w:tcPr>
          <w:p>
            <w:pPr>
              <w:jc w:val="left"/>
            </w:pPr>
            <w:r>
              <w:rPr>
                <w:b w:val="false"/>
                <w:bCs w:val="false"/>
                <w:color w:val="000000"/>
              </w:rPr>
              <w:t xml:space="preserve">"How has built-up area changed in this zone over 5 years?"</w:t>
            </w:r>
          </w:p>
        </w:tc>
        <w:tc>
          <w:tcPr>
            <w:tcW w:type="dxa" w:w="3700"/>
            <w:tcMar>
              <w:top w:type="dxa" w:w="100"/>
              <w:left w:type="dxa" w:w="120"/>
              <w:bottom w:type="dxa" w:w="100"/>
              <w:right w:type="dxa" w:w="120"/>
            </w:tcMar>
            <w:vAlign w:val="center"/>
          </w:tcPr>
          <w:p>
            <w:pPr>
              <w:jc w:val="left"/>
            </w:pPr>
            <w:r>
              <w:rPr>
                <w:b w:val="false"/>
                <w:bCs w:val="false"/>
                <w:color w:val="000000"/>
              </w:rPr>
              <w:t xml:space="preserve">Data-driven planning &amp; unauthorised construction monitoring</w:t>
            </w:r>
          </w:p>
        </w:tc>
      </w:tr>
      <w:tr>
        <w:tc>
          <w:tcPr>
            <w:tcW w:type="dxa" w:w="2300"/>
            <w:shd w:fill="F2F2F2" w:val="clear"/>
            <w:tcMar>
              <w:top w:type="dxa" w:w="100"/>
              <w:left w:type="dxa" w:w="120"/>
              <w:bottom w:type="dxa" w:w="100"/>
              <w:right w:type="dxa" w:w="120"/>
            </w:tcMar>
            <w:vAlign w:val="center"/>
          </w:tcPr>
          <w:p>
            <w:pPr>
              <w:jc w:val="left"/>
            </w:pPr>
            <w:r>
              <w:rPr>
                <w:b w:val="false"/>
                <w:bCs w:val="false"/>
                <w:color w:val="000000"/>
              </w:rPr>
              <w:t xml:space="preserve">Defence / Border Security</w:t>
            </w:r>
          </w:p>
        </w:tc>
        <w:tc>
          <w:tcPr>
            <w:tcW w:type="dxa" w:w="3800"/>
            <w:shd w:fill="F2F2F2" w:val="clear"/>
            <w:tcMar>
              <w:top w:type="dxa" w:w="100"/>
              <w:left w:type="dxa" w:w="120"/>
              <w:bottom w:type="dxa" w:w="100"/>
              <w:right w:type="dxa" w:w="120"/>
            </w:tcMar>
            <w:vAlign w:val="center"/>
          </w:tcPr>
          <w:p>
            <w:pPr>
              <w:jc w:val="left"/>
            </w:pPr>
            <w:r>
              <w:rPr>
                <w:b w:val="false"/>
                <w:bCs w:val="false"/>
                <w:color w:val="000000"/>
              </w:rPr>
              <w:t xml:space="preserve">"Count and locate all vehicles in this area."</w:t>
            </w:r>
          </w:p>
        </w:tc>
        <w:tc>
          <w:tcPr>
            <w:tcW w:type="dxa" w:w="3700"/>
            <w:shd w:fill="F2F2F2" w:val="clear"/>
            <w:tcMar>
              <w:top w:type="dxa" w:w="100"/>
              <w:left w:type="dxa" w:w="120"/>
              <w:bottom w:type="dxa" w:w="100"/>
              <w:right w:type="dxa" w:w="120"/>
            </w:tcMar>
            <w:vAlign w:val="center"/>
          </w:tcPr>
          <w:p>
            <w:pPr>
              <w:jc w:val="left"/>
            </w:pPr>
            <w:r>
              <w:rPr>
                <w:b w:val="false"/>
                <w:bCs w:val="false"/>
                <w:color w:val="000000"/>
              </w:rPr>
              <w:t xml:space="preserve">Rapid, natural-language surveillance analysis</w:t>
            </w:r>
          </w:p>
        </w:tc>
      </w:tr>
      <w:tr>
        <w:tc>
          <w:tcPr>
            <w:tcW w:type="dxa" w:w="2300"/>
            <w:tcMar>
              <w:top w:type="dxa" w:w="100"/>
              <w:left w:type="dxa" w:w="120"/>
              <w:bottom w:type="dxa" w:w="100"/>
              <w:right w:type="dxa" w:w="120"/>
            </w:tcMar>
            <w:vAlign w:val="center"/>
          </w:tcPr>
          <w:p>
            <w:pPr>
              <w:jc w:val="left"/>
            </w:pPr>
            <w:r>
              <w:rPr>
                <w:b w:val="false"/>
                <w:bCs w:val="false"/>
                <w:color w:val="000000"/>
              </w:rPr>
              <w:t xml:space="preserve">Forestry &amp; Environment</w:t>
            </w:r>
          </w:p>
        </w:tc>
        <w:tc>
          <w:tcPr>
            <w:tcW w:type="dxa" w:w="3800"/>
            <w:tcMar>
              <w:top w:type="dxa" w:w="100"/>
              <w:left w:type="dxa" w:w="120"/>
              <w:bottom w:type="dxa" w:w="100"/>
              <w:right w:type="dxa" w:w="120"/>
            </w:tcMar>
            <w:vAlign w:val="center"/>
          </w:tcPr>
          <w:p>
            <w:pPr>
              <w:jc w:val="left"/>
            </w:pPr>
            <w:r>
              <w:rPr>
                <w:b w:val="false"/>
                <w:bCs w:val="false"/>
                <w:color w:val="000000"/>
              </w:rPr>
              <w:t xml:space="preserve">"Has deforestation occurred in this reserve this year?"</w:t>
            </w:r>
          </w:p>
        </w:tc>
        <w:tc>
          <w:tcPr>
            <w:tcW w:type="dxa" w:w="3700"/>
            <w:tcMar>
              <w:top w:type="dxa" w:w="100"/>
              <w:left w:type="dxa" w:w="120"/>
              <w:bottom w:type="dxa" w:w="100"/>
              <w:right w:type="dxa" w:w="120"/>
            </w:tcMar>
            <w:vAlign w:val="center"/>
          </w:tcPr>
          <w:p>
            <w:pPr>
              <w:jc w:val="left"/>
            </w:pPr>
            <w:r>
              <w:rPr>
                <w:b w:val="false"/>
                <w:bCs w:val="false"/>
                <w:color w:val="000000"/>
              </w:rPr>
              <w:t xml:space="preserve">Automated compliance &amp; conservation monitoring</w:t>
            </w:r>
          </w:p>
        </w:tc>
      </w:tr>
    </w:tbl>
    <w:p>
      <w:pPr>
        <w:pStyle w:val="Heading1"/>
        <w:spacing w:after="160" w:before="360"/>
      </w:pPr>
      <w:r>
        <w:t xml:space="preserve">12. Suggested Team Role Distribution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1F4E79" w:val="clear"/>
            <w:tcMar>
              <w:top w:type="dxa" w:w="100"/>
              <w:left w:type="dxa" w:w="120"/>
              <w:bottom w:type="dxa" w:w="100"/>
              <w:right w:type="dxa" w:w="120"/>
            </w:tcMar>
            <w:vAlign w:val="center"/>
          </w:tcPr>
          <w:p>
            <w:pPr>
              <w:jc w:val="left"/>
            </w:pPr>
            <w:r>
              <w:rPr>
                <w:b/>
                <w:bCs/>
                <w:color w:val="FFFFFF"/>
              </w:rPr>
              <w:t xml:space="preserve">Role</w:t>
            </w:r>
          </w:p>
        </w:tc>
        <w:tc>
          <w:tcPr>
            <w:tcW w:type="dxa" w:w="6600"/>
            <w:shd w:fill="1F4E79" w:val="clear"/>
            <w:tcMar>
              <w:top w:type="dxa" w:w="100"/>
              <w:left w:type="dxa" w:w="120"/>
              <w:bottom w:type="dxa" w:w="100"/>
              <w:right w:type="dxa" w:w="120"/>
            </w:tcMar>
            <w:vAlign w:val="center"/>
          </w:tcPr>
          <w:p>
            <w:pPr>
              <w:jc w:val="left"/>
            </w:pPr>
            <w:r>
              <w:rPr>
                <w:b/>
                <w:bCs/>
                <w:color w:val="FFFFFF"/>
              </w:rPr>
              <w:t xml:space="preserve">Responsibility</w:t>
            </w:r>
          </w:p>
        </w:tc>
      </w:tr>
      <w:tr>
        <w:tc>
          <w:tcPr>
            <w:tcW w:type="dxa" w:w="3200"/>
            <w:tcMar>
              <w:top w:type="dxa" w:w="100"/>
              <w:left w:type="dxa" w:w="120"/>
              <w:bottom w:type="dxa" w:w="100"/>
              <w:right w:type="dxa" w:w="120"/>
            </w:tcMar>
            <w:vAlign w:val="center"/>
          </w:tcPr>
          <w:p>
            <w:pPr>
              <w:jc w:val="left"/>
            </w:pPr>
            <w:r>
              <w:rPr>
                <w:b w:val="false"/>
                <w:bCs w:val="false"/>
                <w:color w:val="000000"/>
              </w:rPr>
              <w:t xml:space="preserve">ML/VLM Engineer(s)</w:t>
            </w:r>
          </w:p>
        </w:tc>
        <w:tc>
          <w:tcPr>
            <w:tcW w:type="dxa" w:w="6600"/>
            <w:tcMar>
              <w:top w:type="dxa" w:w="100"/>
              <w:left w:type="dxa" w:w="120"/>
              <w:bottom w:type="dxa" w:w="100"/>
              <w:right w:type="dxa" w:w="120"/>
            </w:tcMar>
            <w:vAlign w:val="center"/>
          </w:tcPr>
          <w:p>
            <w:pPr>
              <w:jc w:val="left"/>
            </w:pPr>
            <w:r>
              <w:rPr>
                <w:b w:val="false"/>
                <w:bCs w:val="false"/>
                <w:color w:val="000000"/>
              </w:rPr>
              <w:t xml:space="preserve">Model selection, LoRA fine-tuning, instruction-data preparation, evaluation</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rPr>
              <w:t xml:space="preserve">CV Engineer</w:t>
            </w:r>
          </w:p>
        </w:tc>
        <w:tc>
          <w:tcPr>
            <w:tcW w:type="dxa" w:w="6600"/>
            <w:shd w:fill="F2F2F2" w:val="clear"/>
            <w:tcMar>
              <w:top w:type="dxa" w:w="100"/>
              <w:left w:type="dxa" w:w="120"/>
              <w:bottom w:type="dxa" w:w="100"/>
              <w:right w:type="dxa" w:w="120"/>
            </w:tcMar>
            <w:vAlign w:val="center"/>
          </w:tcPr>
          <w:p>
            <w:pPr>
              <w:jc w:val="left"/>
            </w:pPr>
            <w:r>
              <w:rPr>
                <w:b w:val="false"/>
                <w:bCs w:val="false"/>
                <w:color w:val="000000"/>
              </w:rPr>
              <w:t xml:space="preserve">Detection/segmentation/change-detection model training and integration as tools</w:t>
            </w:r>
          </w:p>
        </w:tc>
      </w:tr>
      <w:tr>
        <w:tc>
          <w:tcPr>
            <w:tcW w:type="dxa" w:w="3200"/>
            <w:tcMar>
              <w:top w:type="dxa" w:w="100"/>
              <w:left w:type="dxa" w:w="120"/>
              <w:bottom w:type="dxa" w:w="100"/>
              <w:right w:type="dxa" w:w="120"/>
            </w:tcMar>
            <w:vAlign w:val="center"/>
          </w:tcPr>
          <w:p>
            <w:pPr>
              <w:jc w:val="left"/>
            </w:pPr>
            <w:r>
              <w:rPr>
                <w:b w:val="false"/>
                <w:bCs w:val="false"/>
                <w:color w:val="000000"/>
              </w:rPr>
              <w:t xml:space="preserve">Backend/MLOps Engineer</w:t>
            </w:r>
          </w:p>
        </w:tc>
        <w:tc>
          <w:tcPr>
            <w:tcW w:type="dxa" w:w="6600"/>
            <w:tcMar>
              <w:top w:type="dxa" w:w="100"/>
              <w:left w:type="dxa" w:w="120"/>
              <w:bottom w:type="dxa" w:w="100"/>
              <w:right w:type="dxa" w:w="120"/>
            </w:tcMar>
            <w:vAlign w:val="center"/>
          </w:tcPr>
          <w:p>
            <w:pPr>
              <w:jc w:val="left"/>
            </w:pPr>
            <w:r>
              <w:rPr>
                <w:b w:val="false"/>
                <w:bCs w:val="false"/>
                <w:color w:val="000000"/>
              </w:rPr>
              <w:t xml:space="preserve">API design, model serving, database, tool-orchestration logic</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rPr>
              <w:t xml:space="preserve">Frontend Developer</w:t>
            </w:r>
          </w:p>
        </w:tc>
        <w:tc>
          <w:tcPr>
            <w:tcW w:type="dxa" w:w="6600"/>
            <w:shd w:fill="F2F2F2" w:val="clear"/>
            <w:tcMar>
              <w:top w:type="dxa" w:w="100"/>
              <w:left w:type="dxa" w:w="120"/>
              <w:bottom w:type="dxa" w:w="100"/>
              <w:right w:type="dxa" w:w="120"/>
            </w:tcMar>
            <w:vAlign w:val="center"/>
          </w:tcPr>
          <w:p>
            <w:pPr>
              <w:jc w:val="left"/>
            </w:pPr>
            <w:r>
              <w:rPr>
                <w:b w:val="false"/>
                <w:bCs w:val="false"/>
                <w:color w:val="000000"/>
              </w:rPr>
              <w:t xml:space="preserve">Chat UI, map/image visualisation, overlay rendering of grounded results</w:t>
            </w:r>
          </w:p>
        </w:tc>
      </w:tr>
      <w:tr>
        <w:tc>
          <w:tcPr>
            <w:tcW w:type="dxa" w:w="3200"/>
            <w:tcMar>
              <w:top w:type="dxa" w:w="100"/>
              <w:left w:type="dxa" w:w="120"/>
              <w:bottom w:type="dxa" w:w="100"/>
              <w:right w:type="dxa" w:w="120"/>
            </w:tcMar>
            <w:vAlign w:val="center"/>
          </w:tcPr>
          <w:p>
            <w:pPr>
              <w:jc w:val="left"/>
            </w:pPr>
            <w:r>
              <w:rPr>
                <w:b w:val="false"/>
                <w:bCs w:val="false"/>
                <w:color w:val="000000"/>
              </w:rPr>
              <w:t xml:space="preserve">Domain/GIS Researcher &amp; Presenter</w:t>
            </w:r>
          </w:p>
        </w:tc>
        <w:tc>
          <w:tcPr>
            <w:tcW w:type="dxa" w:w="6600"/>
            <w:tcMar>
              <w:top w:type="dxa" w:w="100"/>
              <w:left w:type="dxa" w:w="120"/>
              <w:bottom w:type="dxa" w:w="100"/>
              <w:right w:type="dxa" w:w="120"/>
            </w:tcMar>
            <w:vAlign w:val="center"/>
          </w:tcPr>
          <w:p>
            <w:pPr>
              <w:jc w:val="left"/>
            </w:pPr>
            <w:r>
              <w:rPr>
                <w:b w:val="false"/>
                <w:bCs w:val="false"/>
                <w:color w:val="000000"/>
              </w:rPr>
              <w:t xml:space="preserve">Dataset curation, use-case validation, pitch/demo storytelling</w:t>
            </w:r>
          </w:p>
        </w:tc>
      </w:tr>
    </w:tbl>
    <w:p>
      <w:pPr>
        <w:pStyle w:val="Heading1"/>
        <w:spacing w:after="160" w:before="360"/>
      </w:pPr>
      <w:r>
        <w:t xml:space="preserve">13. Key Reference Systems (For Further Reading)</w:t>
      </w:r>
    </w:p>
    <w:p>
      <w:pPr>
        <w:pStyle w:val="ListParagraph"/>
        <w:numPr>
          <w:ilvl w:val="0"/>
          <w:numId w:val="2"/>
        </w:numPr>
        <w:spacing w:after="90" w:line="290"/>
      </w:pPr>
      <w:r>
        <w:t xml:space="preserve">GeoChat — Grounded Large Vision-Language Model for Remote Sensing (CVPR 2024)</w:t>
      </w:r>
    </w:p>
    <w:p>
      <w:pPr>
        <w:pStyle w:val="ListParagraph"/>
        <w:numPr>
          <w:ilvl w:val="0"/>
          <w:numId w:val="2"/>
        </w:numPr>
        <w:spacing w:after="90" w:line="290"/>
      </w:pPr>
      <w:r>
        <w:t xml:space="preserve">RS-LLaVA — A Large Vision-Language Model for Joint Captioning and VQA in RS Imagery</w:t>
      </w:r>
    </w:p>
    <w:p>
      <w:pPr>
        <w:pStyle w:val="ListParagraph"/>
        <w:numPr>
          <w:ilvl w:val="0"/>
          <w:numId w:val="2"/>
        </w:numPr>
        <w:spacing w:after="90" w:line="290"/>
      </w:pPr>
      <w:r>
        <w:t xml:space="preserve">EarthGPT — Universal Multi-Sensor Multimodal LLM for Remote Sensing</w:t>
      </w:r>
    </w:p>
    <w:p>
      <w:pPr>
        <w:pStyle w:val="ListParagraph"/>
        <w:numPr>
          <w:ilvl w:val="0"/>
          <w:numId w:val="2"/>
        </w:numPr>
        <w:spacing w:after="90" w:line="290"/>
      </w:pPr>
      <w:r>
        <w:t xml:space="preserve">RSGPT — A Remote Sensing Vision-Language Model and Benchmark</w:t>
      </w:r>
    </w:p>
    <w:p>
      <w:pPr>
        <w:pStyle w:val="ListParagraph"/>
        <w:numPr>
          <w:ilvl w:val="0"/>
          <w:numId w:val="2"/>
        </w:numPr>
        <w:spacing w:after="90" w:line="290"/>
      </w:pPr>
      <w:r>
        <w:t xml:space="preserve">LHRS-Bot — VGI-Enhanced Multimodal LLM for Remote Sensing</w:t>
      </w:r>
    </w:p>
    <w:p>
      <w:pPr>
        <w:pStyle w:val="ListParagraph"/>
        <w:numPr>
          <w:ilvl w:val="0"/>
          <w:numId w:val="2"/>
        </w:numPr>
        <w:spacing w:after="90" w:line="290"/>
      </w:pPr>
      <w:r>
        <w:t xml:space="preserve">RSVQA — Visual Question Answering Benchmark for Remote Sensing</w:t>
      </w:r>
    </w:p>
    <w:p>
      <w:pPr>
        <w:spacing w:after="200"/>
      </w:pPr>
    </w:p>
    <w:p>
      <w:pPr>
        <w:pBdr>
          <w:bottom w:val="single" w:color="2E75B6" w:sz="6" w:space="1"/>
        </w:pBdr>
        <w:spacing w:after="200"/>
      </w:pPr>
    </w:p>
    <w:p>
      <w:pPr>
        <w:spacing w:after="140" w:line="300"/>
      </w:pPr>
      <w:r>
        <w:rPr>
          <w:i/>
          <w:iCs/>
          <w:color w:val="555555"/>
        </w:rPr>
        <w:t xml:space="preserve">End of Document — prepared for Smart India Hackathon team planning and technical reference.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SIH — Remote Sensing Vision-Language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pPr>
    <w:rPr>
      <w:rFonts w:ascii="Calibri" w:cs="Calibri" w:eastAsia="Calibri" w:hAnsi="Calibri"/>
      <w:b/>
      <w:bCs/>
      <w:color w:val="1F4E79"/>
      <w:sz w:val="30"/>
      <w:szCs w:val="30"/>
    </w:rPr>
  </w:style>
  <w:style w:type="paragraph" w:styleId="Heading2">
    <w:name w:val="Heading 2"/>
    <w:basedOn w:val="Normal"/>
    <w:next w:val="Normal"/>
    <w:qFormat/>
    <w:pPr>
      <w:spacing w:after="120" w:before="240"/>
    </w:pPr>
    <w:rPr>
      <w:rFonts w:ascii="Calibri" w:cs="Calibri" w:eastAsia="Calibri" w:hAnsi="Calibri"/>
      <w:b/>
      <w:bCs/>
      <w:color w:val="2E75B6"/>
      <w:sz w:val="25"/>
      <w:szCs w:val="25"/>
    </w:rPr>
  </w:style>
  <w:style w:type="paragraph" w:styleId="Heading3">
    <w:name w:val="Heading 3"/>
    <w:basedOn w:val="Normal"/>
    <w:next w:val="Normal"/>
    <w:qFormat/>
    <w:pPr>
      <w:spacing w:after="100" w:before="180"/>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2026-08-27T16:05:24.680Z</dcterms:created>
  <dcterms:modified xsi:type="dcterms:W3CDTF">2026-08-27T16:05:24.693Z</dcterms:modified>
</cp:coreProperties>
</file>

<file path=docProps/custom.xml><?xml version="1.0" encoding="utf-8"?>
<Properties xmlns="http://schemas.openxmlformats.org/officeDocument/2006/custom-properties" xmlns:vt="http://schemas.openxmlformats.org/officeDocument/2006/docPropsVTypes"/>
</file>