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6385C"/>
          <w:sz w:val="58"/>
        </w:rPr>
        <w:t>BASIC PHYSIOTHERAPY</w:t>
        <w:br/>
      </w:r>
      <w:r>
        <w:rPr>
          <w:rFonts w:ascii="Aptos Display" w:hAnsi="Aptos Display"/>
          <w:b/>
          <w:color w:val="007A8C"/>
          <w:sz w:val="46"/>
        </w:rPr>
        <w:t>Dashboard Prototype</w:t>
      </w:r>
    </w:p>
    <w:p>
      <w:pPr>
        <w:jc w:val="center"/>
      </w:pPr>
      <w:r>
        <w:rPr>
          <w:i/>
          <w:sz w:val="24"/>
        </w:rPr>
        <w:t>Confidentiality-safe demonstration concept</w:t>
      </w:r>
    </w:p>
    <w:p/>
    <w:tbl>
      <w:tblPr>
        <w:tblW w:type="auto" w:w="0"/>
        <w:tblLook w:firstColumn="1" w:firstRow="1" w:lastColumn="0" w:lastRow="0" w:noHBand="0" w:noVBand="1" w:val="04A0"/>
      </w:tblPr>
      <w:tblGrid>
        <w:gridCol w:w="9936"/>
      </w:tblGrid>
      <w:tr>
        <w:tc>
          <w:tcPr>
            <w:tcW w:type="dxa" w:w="9936"/>
            <w:shd w:fill="E8F5F2"/>
          </w:tcPr>
          <w:p>
            <w:pPr>
              <w:spacing w:after="40"/>
            </w:pPr>
            <w:r>
              <w:rPr>
                <w:b/>
                <w:color w:val="164A78"/>
                <w:sz w:val="20"/>
              </w:rPr>
              <w:t>Purpose</w:t>
              <w:br/>
            </w:r>
            <w:r>
              <w:rPr>
                <w:sz w:val="18"/>
              </w:rPr>
              <w:t>A simplified dashboard for small events and introductory showcases. It presents numeric sensor-style readings as clear charts, statistics, and a 2D muscle map. It excludes confidential analytical methods and advanced decision-making functionality.</w:t>
            </w:r>
          </w:p>
        </w:tc>
      </w:tr>
    </w:tbl>
    <w:p>
      <w:pPr>
        <w:spacing w:after="20"/>
      </w:pPr>
    </w:p>
    <w:p>
      <w:pPr>
        <w:spacing w:before="440"/>
        <w:jc w:val="center"/>
      </w:pPr>
      <w:r>
        <w:t>Product description • Functional scope • UI requirements • Demo behaviour</w:t>
      </w:r>
    </w:p>
    <w:p>
      <w:r>
        <w:br w:type="page"/>
      </w:r>
    </w:p>
    <w:p>
      <w:pPr>
        <w:pStyle w:val="Heading1"/>
      </w:pPr>
      <w:r>
        <w:t>1. Overview</w:t>
      </w:r>
    </w:p>
    <w:p>
      <w:r>
        <w:t>The Basic Physiotherapy Dashboard is a lightweight visualisation prototype for small events, early demonstrations, and general project showcases. It demonstrates how physiological or movement-related numeric readings can be organised into an understandable interface for a therapist or general audience.</w:t>
      </w:r>
    </w:p>
    <w:p>
      <w:r>
        <w:t>The interface uses adjustable sliders to change illustrative readings. The dashboard responds by updating simple statistics, charts, and a two-dimensional muscle map. Each displayed muscle region can be assigned a visual status based on transparent, predefined demonstration rules. The prototype focuses on displaying and comparing values—not on revealing the project's confidential methods.</w:t>
      </w:r>
    </w:p>
    <w:tbl>
      <w:tblPr>
        <w:tblW w:type="auto" w:w="0"/>
        <w:tblLook w:firstColumn="1" w:firstRow="1" w:lastColumn="0" w:lastRow="0" w:noHBand="0" w:noVBand="1" w:val="04A0"/>
      </w:tblPr>
      <w:tblGrid>
        <w:gridCol w:w="9936"/>
      </w:tblGrid>
      <w:tr>
        <w:tc>
          <w:tcPr>
            <w:tcW w:type="dxa" w:w="9936"/>
            <w:shd w:fill="EAF2FF"/>
          </w:tcPr>
          <w:p>
            <w:pPr>
              <w:spacing w:after="40"/>
            </w:pPr>
            <w:r>
              <w:rPr>
                <w:b/>
                <w:color w:val="164A78"/>
                <w:sz w:val="20"/>
              </w:rPr>
              <w:t>Scope in one sentence</w:t>
              <w:br/>
            </w:r>
            <w:r>
              <w:rPr>
                <w:sz w:val="18"/>
              </w:rPr>
              <w:t>A visual dashboard that turns adjustable numeric readings into easy-to-read charts, summary statistics, and a 2D muscle status map.</w:t>
            </w:r>
          </w:p>
        </w:tc>
      </w:tr>
    </w:tbl>
    <w:p>
      <w:pPr>
        <w:spacing w:after="20"/>
      </w:pPr>
    </w:p>
    <w:p>
      <w:pPr>
        <w:pStyle w:val="Heading1"/>
      </w:pPr>
      <w:r>
        <w:t>2. Objectives</w:t>
      </w:r>
    </w:p>
    <w:p>
      <w:pPr>
        <w:pStyle w:val="ListBullet"/>
        <w:spacing w:after="40"/>
      </w:pPr>
      <w:r>
        <w:t>Show several measurement channels together in one interface.</w:t>
      </w:r>
    </w:p>
    <w:p>
      <w:pPr>
        <w:pStyle w:val="ListBullet"/>
        <w:spacing w:after="40"/>
      </w:pPr>
      <w:r>
        <w:t>Let a presenter change sample readings using sliders and immediately see visualisations update.</w:t>
      </w:r>
    </w:p>
    <w:p>
      <w:pPr>
        <w:pStyle w:val="ListBullet"/>
        <w:spacing w:after="40"/>
      </w:pPr>
      <w:r>
        <w:t>Display a 2D muscle map with clear, colour-coded illustrative status levels.</w:t>
      </w:r>
    </w:p>
    <w:p>
      <w:pPr>
        <w:pStyle w:val="ListBullet"/>
        <w:spacing w:after="40"/>
      </w:pPr>
      <w:r>
        <w:t>Summarise readings through simple statistics and easy-to-interpret charts.</w:t>
      </w:r>
    </w:p>
    <w:p>
      <w:pPr>
        <w:pStyle w:val="ListBullet"/>
        <w:spacing w:after="40"/>
      </w:pPr>
      <w:r>
        <w:t>Provide a clean interface suitable for a short demonstration.</w:t>
      </w:r>
    </w:p>
    <w:p>
      <w:pPr>
        <w:pStyle w:val="ListBullet"/>
        <w:spacing w:after="40"/>
      </w:pPr>
      <w:r>
        <w:t>Keep advanced project logic, model details, unique analysis methods, and confidential implementation information outside this prototype.</w:t>
      </w:r>
    </w:p>
    <w:p>
      <w:pPr>
        <w:pStyle w:val="Heading1"/>
      </w:pPr>
      <w:r>
        <w:t>3. Intended use and limitations</w:t>
      </w:r>
    </w:p>
    <w:p>
      <w:r>
        <w:t>This version is for demonstration and interface evaluation. It may use synthetic values, manually adjusted sliders, or non-identifying sample data. Unless separately validated and authorised for clinical use, displayed status levels must not be represented as medical diagnoses, confirmed muscle weakness, or a clinically validated risk score.</w:t>
      </w:r>
    </w:p>
    <w:p>
      <w:pPr>
        <w:pStyle w:val="ListBullet"/>
        <w:spacing w:after="40"/>
      </w:pPr>
      <w:r>
        <w:t>Show a visible “Demo Mode — Illustrative Data” label throughout the interface.</w:t>
      </w:r>
    </w:p>
    <w:p>
      <w:pPr>
        <w:pStyle w:val="ListBullet"/>
        <w:spacing w:after="40"/>
      </w:pPr>
      <w:r>
        <w:t>Use terms such as “display status,” “relative activity,” or “illustrative level,” not definitive diagnostic labels.</w:t>
      </w:r>
    </w:p>
    <w:p>
      <w:pPr>
        <w:pStyle w:val="ListBullet"/>
        <w:spacing w:after="40"/>
      </w:pPr>
      <w:r>
        <w:t>Do not connect the demo's visual status rules to the confidential analysis pipeline.</w:t>
      </w:r>
    </w:p>
    <w:p>
      <w:pPr>
        <w:pStyle w:val="ListBullet"/>
        <w:spacing w:after="40"/>
      </w:pPr>
      <w:r>
        <w:t>Do not include patient-identifiable information in screenshots, sample records, or public demonstrations.</w:t>
      </w:r>
    </w:p>
    <w:p>
      <w:pPr>
        <w:pStyle w:val="Heading1"/>
      </w:pPr>
      <w:r>
        <w:t>4. Core dashboard components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64A78"/>
          </w:tcPr>
          <w:p>
            <w:pPr>
              <w:spacing w:after="20"/>
            </w:pPr>
            <w:r/>
            <w:r>
              <w:rPr>
                <w:rFonts w:ascii="Aptos" w:hAnsi="Aptos"/>
                <w:b/>
                <w:color w:val="FFFFFF"/>
                <w:sz w:val="18"/>
              </w:rPr>
              <w:t>Component</w:t>
            </w:r>
          </w:p>
        </w:tc>
        <w:tc>
          <w:tcPr>
            <w:tcW w:type="dxa" w:w="4968"/>
            <w:shd w:fill="164A78"/>
          </w:tcPr>
          <w:p>
            <w:pPr>
              <w:spacing w:after="20"/>
            </w:pPr>
            <w:r/>
            <w:r>
              <w:rPr>
                <w:rFonts w:ascii="Aptos" w:hAnsi="Aptos"/>
                <w:b/>
                <w:color w:val="FFFFFF"/>
                <w:sz w:val="18"/>
              </w:rPr>
              <w:t>Description</w:t>
            </w:r>
          </w:p>
        </w:tc>
      </w:tr>
      <w:tr>
        <w:tc>
          <w:tcPr>
            <w:tcW w:type="dxa" w:w="4968"/>
          </w:tcPr>
          <w:p>
            <w:pPr>
              <w:spacing w:after="20"/>
            </w:pPr>
            <w:r/>
            <w:r>
              <w:rPr>
                <w:rFonts w:ascii="Aptos" w:hAnsi="Aptos"/>
                <w:b/>
                <w:color w:val="164A78"/>
                <w:sz w:val="16"/>
              </w:rPr>
              <w:t>A. Sensor-style sliders</w:t>
            </w:r>
          </w:p>
        </w:tc>
        <w:tc>
          <w:tcPr>
            <w:tcW w:type="dxa" w:w="4968"/>
          </w:tcPr>
          <w:p>
            <w:pPr>
              <w:spacing w:after="20"/>
            </w:pPr>
            <w:r/>
            <w:r>
              <w:rPr>
                <w:rFonts w:ascii="Aptos" w:hAnsi="Aptos"/>
                <w:b w:val="0"/>
                <w:sz w:val="16"/>
              </w:rPr>
              <w:t>A small set of sliders representing illustrative input channels. Each shows its current value and units where applicable. Moving a slider updates relevant cards, charts, and map colours.</w:t>
            </w:r>
          </w:p>
        </w:tc>
      </w:tr>
      <w:tr>
        <w:tc>
          <w:tcPr>
            <w:tcW w:type="dxa" w:w="4968"/>
          </w:tcPr>
          <w:p>
            <w:pPr>
              <w:spacing w:after="20"/>
            </w:pPr>
            <w:r/>
            <w:r>
              <w:rPr>
                <w:rFonts w:ascii="Aptos" w:hAnsi="Aptos"/>
                <w:b/>
                <w:color w:val="164A78"/>
                <w:sz w:val="16"/>
              </w:rPr>
              <w:t>B. 2D muscle map</w:t>
            </w:r>
          </w:p>
        </w:tc>
        <w:tc>
          <w:tcPr>
            <w:tcW w:type="dxa" w:w="4968"/>
          </w:tcPr>
          <w:p>
            <w:pPr>
              <w:spacing w:after="20"/>
            </w:pPr>
            <w:r/>
            <w:r>
              <w:rPr>
                <w:rFonts w:ascii="Aptos" w:hAnsi="Aptos"/>
                <w:b w:val="0"/>
                <w:sz w:val="16"/>
              </w:rPr>
              <w:t>A front/back human outline or selected muscle-region diagram. Regions may be selectable. Each region uses a consistent colour to indicate a display category based on transparent demo rules.</w:t>
            </w:r>
          </w:p>
        </w:tc>
      </w:tr>
      <w:tr>
        <w:tc>
          <w:tcPr>
            <w:tcW w:type="dxa" w:w="4968"/>
          </w:tcPr>
          <w:p>
            <w:pPr>
              <w:spacing w:after="20"/>
            </w:pPr>
            <w:r/>
            <w:r>
              <w:rPr>
                <w:rFonts w:ascii="Aptos" w:hAnsi="Aptos"/>
                <w:b/>
                <w:color w:val="164A78"/>
                <w:sz w:val="16"/>
              </w:rPr>
              <w:t>C. Summary statistic cards</w:t>
            </w:r>
          </w:p>
        </w:tc>
        <w:tc>
          <w:tcPr>
            <w:tcW w:type="dxa" w:w="4968"/>
          </w:tcPr>
          <w:p>
            <w:pPr>
              <w:spacing w:after="20"/>
            </w:pPr>
            <w:r/>
            <w:r>
              <w:rPr>
                <w:rFonts w:ascii="Aptos" w:hAnsi="Aptos"/>
                <w:b w:val="0"/>
                <w:sz w:val="16"/>
              </w:rPr>
              <w:t>Cards showing current values, simple distribution summaries, and the number of regions in each display category.</w:t>
            </w:r>
          </w:p>
        </w:tc>
      </w:tr>
      <w:tr>
        <w:tc>
          <w:tcPr>
            <w:tcW w:type="dxa" w:w="4968"/>
          </w:tcPr>
          <w:p>
            <w:pPr>
              <w:spacing w:after="20"/>
            </w:pPr>
            <w:r/>
            <w:r>
              <w:rPr>
                <w:rFonts w:ascii="Aptos" w:hAnsi="Aptos"/>
                <w:b/>
                <w:color w:val="164A78"/>
                <w:sz w:val="16"/>
              </w:rPr>
              <w:t>D. Charts and comparisons</w:t>
            </w:r>
          </w:p>
        </w:tc>
        <w:tc>
          <w:tcPr>
            <w:tcW w:type="dxa" w:w="4968"/>
          </w:tcPr>
          <w:p>
            <w:pPr>
              <w:spacing w:after="20"/>
            </w:pPr>
            <w:r/>
            <w:r>
              <w:rPr>
                <w:rFonts w:ascii="Aptos" w:hAnsi="Aptos"/>
                <w:b w:val="0"/>
                <w:sz w:val="16"/>
              </w:rPr>
              <w:t>Bar charts, line charts, or small comparison plots with clear labels, units, legends, and sensible scales.</w:t>
            </w:r>
          </w:p>
        </w:tc>
      </w:tr>
      <w:tr>
        <w:tc>
          <w:tcPr>
            <w:tcW w:type="dxa" w:w="4968"/>
          </w:tcPr>
          <w:p>
            <w:pPr>
              <w:spacing w:after="20"/>
            </w:pPr>
            <w:r/>
            <w:r>
              <w:rPr>
                <w:rFonts w:ascii="Aptos" w:hAnsi="Aptos"/>
                <w:b/>
                <w:color w:val="164A78"/>
                <w:sz w:val="16"/>
              </w:rPr>
              <w:t>E. Selected-region detail</w:t>
            </w:r>
          </w:p>
        </w:tc>
        <w:tc>
          <w:tcPr>
            <w:tcW w:type="dxa" w:w="4968"/>
          </w:tcPr>
          <w:p>
            <w:pPr>
              <w:spacing w:after="20"/>
            </w:pPr>
            <w:r/>
            <w:r>
              <w:rPr>
                <w:rFonts w:ascii="Aptos" w:hAnsi="Aptos"/>
                <w:b w:val="0"/>
                <w:sz w:val="16"/>
              </w:rPr>
              <w:t>For a selected region, show its illustrative input value, display category, and a short explanation.</w:t>
            </w:r>
          </w:p>
        </w:tc>
      </w:tr>
      <w:tr>
        <w:tc>
          <w:tcPr>
            <w:tcW w:type="dxa" w:w="4968"/>
          </w:tcPr>
          <w:p>
            <w:pPr>
              <w:spacing w:after="20"/>
            </w:pPr>
            <w:r/>
            <w:r>
              <w:rPr>
                <w:rFonts w:ascii="Aptos" w:hAnsi="Aptos"/>
                <w:b/>
                <w:color w:val="164A78"/>
                <w:sz w:val="16"/>
              </w:rPr>
              <w:t>F. Demo controls</w:t>
            </w:r>
          </w:p>
        </w:tc>
        <w:tc>
          <w:tcPr>
            <w:tcW w:type="dxa" w:w="4968"/>
          </w:tcPr>
          <w:p>
            <w:pPr>
              <w:spacing w:after="20"/>
            </w:pPr>
            <w:r/>
            <w:r>
              <w:rPr>
                <w:rFonts w:ascii="Aptos" w:hAnsi="Aptos"/>
                <w:b w:val="0"/>
                <w:sz w:val="16"/>
              </w:rPr>
              <w:t>Reset, Randomise Sample, and Demo Mode controls. Optional presets make presentations repeatable.</w:t>
            </w:r>
          </w:p>
        </w:tc>
      </w:tr>
      <w:tr>
        <w:tc>
          <w:tcPr>
            <w:tcW w:type="dxa" w:w="4968"/>
          </w:tcPr>
          <w:p>
            <w:pPr>
              <w:spacing w:after="20"/>
            </w:pPr>
            <w:r/>
            <w:r>
              <w:rPr>
                <w:rFonts w:ascii="Aptos" w:hAnsi="Aptos"/>
                <w:b/>
                <w:color w:val="164A78"/>
                <w:sz w:val="16"/>
              </w:rPr>
              <w:t>G. Basic session summary</w:t>
            </w:r>
          </w:p>
        </w:tc>
        <w:tc>
          <w:tcPr>
            <w:tcW w:type="dxa" w:w="4968"/>
          </w:tcPr>
          <w:p>
            <w:pPr>
              <w:spacing w:after="20"/>
            </w:pPr>
            <w:r/>
            <w:r>
              <w:rPr>
                <w:rFonts w:ascii="Aptos" w:hAnsi="Aptos"/>
                <w:b w:val="0"/>
                <w:sz w:val="16"/>
              </w:rPr>
              <w:t>Optionally show a timestamp, demo session ID, and screenshot-friendly report. Avoid personal information.</w:t>
            </w:r>
          </w:p>
        </w:tc>
      </w:tr>
    </w:tbl>
    <w:p>
      <w:pPr>
        <w:pStyle w:val="Heading1"/>
      </w:pPr>
      <w:r>
        <w:t>5. Suggested slider inputs</w:t>
      </w:r>
    </w:p>
    <w:p>
      <w:r>
        <w:t>Keep the input set intentionally small. Select channels that demonstrate the interface without disclosing how the advanced version combines or interprets them.</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64A78"/>
          </w:tcPr>
          <w:p>
            <w:pPr>
              <w:spacing w:after="20"/>
            </w:pPr>
            <w:r/>
            <w:r>
              <w:rPr>
                <w:rFonts w:ascii="Aptos" w:hAnsi="Aptos"/>
                <w:b/>
                <w:color w:val="FFFFFF"/>
                <w:sz w:val="18"/>
              </w:rPr>
              <w:t>Input</w:t>
            </w:r>
          </w:p>
        </w:tc>
        <w:tc>
          <w:tcPr>
            <w:tcW w:type="dxa" w:w="3312"/>
            <w:shd w:fill="164A78"/>
          </w:tcPr>
          <w:p>
            <w:pPr>
              <w:spacing w:after="20"/>
            </w:pPr>
            <w:r/>
            <w:r>
              <w:rPr>
                <w:rFonts w:ascii="Aptos" w:hAnsi="Aptos"/>
                <w:b/>
                <w:color w:val="FFFFFF"/>
                <w:sz w:val="18"/>
              </w:rPr>
              <w:t>Example control</w:t>
            </w:r>
          </w:p>
        </w:tc>
        <w:tc>
          <w:tcPr>
            <w:tcW w:type="dxa" w:w="3312"/>
            <w:shd w:fill="164A78"/>
          </w:tcPr>
          <w:p>
            <w:pPr>
              <w:spacing w:after="20"/>
            </w:pPr>
            <w:r/>
            <w:r>
              <w:rPr>
                <w:rFonts w:ascii="Aptos" w:hAnsi="Aptos"/>
                <w:b/>
                <w:color w:val="FFFFFF"/>
                <w:sz w:val="18"/>
              </w:rPr>
              <w:t>Purpose</w:t>
            </w:r>
          </w:p>
        </w:tc>
      </w:tr>
      <w:tr>
        <w:tc>
          <w:tcPr>
            <w:tcW w:type="dxa" w:w="3312"/>
          </w:tcPr>
          <w:p>
            <w:pPr>
              <w:spacing w:after="20"/>
            </w:pPr>
            <w:r/>
            <w:r>
              <w:rPr>
                <w:rFonts w:ascii="Aptos" w:hAnsi="Aptos"/>
                <w:b/>
                <w:color w:val="164A78"/>
                <w:sz w:val="16"/>
              </w:rPr>
              <w:t>Muscle activity level</w:t>
            </w:r>
          </w:p>
        </w:tc>
        <w:tc>
          <w:tcPr>
            <w:tcW w:type="dxa" w:w="3312"/>
          </w:tcPr>
          <w:p>
            <w:pPr>
              <w:spacing w:after="20"/>
            </w:pPr>
            <w:r/>
            <w:r>
              <w:rPr>
                <w:rFonts w:ascii="Aptos" w:hAnsi="Aptos"/>
                <w:b w:val="0"/>
                <w:sz w:val="16"/>
              </w:rPr>
              <w:t>Normalised value, e.g. 0–100</w:t>
            </w:r>
          </w:p>
        </w:tc>
        <w:tc>
          <w:tcPr>
            <w:tcW w:type="dxa" w:w="3312"/>
          </w:tcPr>
          <w:p>
            <w:pPr>
              <w:spacing w:after="20"/>
            </w:pPr>
            <w:r/>
            <w:r>
              <w:rPr>
                <w:rFonts w:ascii="Aptos" w:hAnsi="Aptos"/>
                <w:b w:val="0"/>
                <w:sz w:val="16"/>
              </w:rPr>
              <w:t>Simplified activity reading for demonstration.</w:t>
            </w:r>
          </w:p>
        </w:tc>
      </w:tr>
      <w:tr>
        <w:tc>
          <w:tcPr>
            <w:tcW w:type="dxa" w:w="3312"/>
          </w:tcPr>
          <w:p>
            <w:pPr>
              <w:spacing w:after="20"/>
            </w:pPr>
            <w:r/>
            <w:r>
              <w:rPr>
                <w:rFonts w:ascii="Aptos" w:hAnsi="Aptos"/>
                <w:b/>
                <w:color w:val="164A78"/>
                <w:sz w:val="16"/>
              </w:rPr>
              <w:t>Movement / motion level</w:t>
            </w:r>
          </w:p>
        </w:tc>
        <w:tc>
          <w:tcPr>
            <w:tcW w:type="dxa" w:w="3312"/>
          </w:tcPr>
          <w:p>
            <w:pPr>
              <w:spacing w:after="20"/>
            </w:pPr>
            <w:r/>
            <w:r>
              <w:rPr>
                <w:rFonts w:ascii="Aptos" w:hAnsi="Aptos"/>
                <w:b w:val="0"/>
                <w:sz w:val="16"/>
              </w:rPr>
              <w:t>Normalised value, e.g. 0–100</w:t>
            </w:r>
          </w:p>
        </w:tc>
        <w:tc>
          <w:tcPr>
            <w:tcW w:type="dxa" w:w="3312"/>
          </w:tcPr>
          <w:p>
            <w:pPr>
              <w:spacing w:after="20"/>
            </w:pPr>
            <w:r/>
            <w:r>
              <w:rPr>
                <w:rFonts w:ascii="Aptos" w:hAnsi="Aptos"/>
                <w:b w:val="0"/>
                <w:sz w:val="16"/>
              </w:rPr>
              <w:t>Simplified movement-related reading.</w:t>
            </w:r>
          </w:p>
        </w:tc>
      </w:tr>
      <w:tr>
        <w:tc>
          <w:tcPr>
            <w:tcW w:type="dxa" w:w="3312"/>
          </w:tcPr>
          <w:p>
            <w:pPr>
              <w:spacing w:after="20"/>
            </w:pPr>
            <w:r/>
            <w:r>
              <w:rPr>
                <w:rFonts w:ascii="Aptos" w:hAnsi="Aptos"/>
                <w:b/>
                <w:color w:val="164A78"/>
                <w:sz w:val="16"/>
              </w:rPr>
              <w:t>Pressure / load level</w:t>
            </w:r>
          </w:p>
        </w:tc>
        <w:tc>
          <w:tcPr>
            <w:tcW w:type="dxa" w:w="3312"/>
          </w:tcPr>
          <w:p>
            <w:pPr>
              <w:spacing w:after="20"/>
            </w:pPr>
            <w:r/>
            <w:r>
              <w:rPr>
                <w:rFonts w:ascii="Aptos" w:hAnsi="Aptos"/>
                <w:b w:val="0"/>
                <w:sz w:val="16"/>
              </w:rPr>
              <w:t>Normalised value, e.g. 0–100</w:t>
            </w:r>
          </w:p>
        </w:tc>
        <w:tc>
          <w:tcPr>
            <w:tcW w:type="dxa" w:w="3312"/>
          </w:tcPr>
          <w:p>
            <w:pPr>
              <w:spacing w:after="20"/>
            </w:pPr>
            <w:r/>
            <w:r>
              <w:rPr>
                <w:rFonts w:ascii="Aptos" w:hAnsi="Aptos"/>
                <w:b w:val="0"/>
                <w:sz w:val="16"/>
              </w:rPr>
              <w:t>Simplified pressure or load reading.</w:t>
            </w:r>
          </w:p>
        </w:tc>
      </w:tr>
      <w:tr>
        <w:tc>
          <w:tcPr>
            <w:tcW w:type="dxa" w:w="3312"/>
          </w:tcPr>
          <w:p>
            <w:pPr>
              <w:spacing w:after="20"/>
            </w:pPr>
            <w:r/>
            <w:r>
              <w:rPr>
                <w:rFonts w:ascii="Aptos" w:hAnsi="Aptos"/>
                <w:b/>
                <w:color w:val="164A78"/>
                <w:sz w:val="16"/>
              </w:rPr>
              <w:t>Optional signal quality</w:t>
            </w:r>
          </w:p>
        </w:tc>
        <w:tc>
          <w:tcPr>
            <w:tcW w:type="dxa" w:w="3312"/>
          </w:tcPr>
          <w:p>
            <w:pPr>
              <w:spacing w:after="20"/>
            </w:pPr>
            <w:r/>
            <w:r>
              <w:rPr>
                <w:rFonts w:ascii="Aptos" w:hAnsi="Aptos"/>
                <w:b w:val="0"/>
                <w:sz w:val="16"/>
              </w:rPr>
              <w:t>Toggle or 0–100 slider</w:t>
            </w:r>
          </w:p>
        </w:tc>
        <w:tc>
          <w:tcPr>
            <w:tcW w:type="dxa" w:w="3312"/>
          </w:tcPr>
          <w:p>
            <w:pPr>
              <w:spacing w:after="20"/>
            </w:pPr>
            <w:r/>
            <w:r>
              <w:rPr>
                <w:rFonts w:ascii="Aptos" w:hAnsi="Aptos"/>
                <w:b w:val="0"/>
                <w:sz w:val="16"/>
              </w:rPr>
              <w:t>Demonstrates low-quality or unavailable readings.</w:t>
            </w:r>
          </w:p>
        </w:tc>
      </w:tr>
    </w:tbl>
    <w:p>
      <w:r>
        <w:t>These are suggested demo controls, not a final sensor specification. If real sensor units are displayed, define the unit, range, sampling context, and interpretation accurately. Do not present arbitrary normalised values as actual EMG, ECG, or pressure measurements.</w:t>
      </w:r>
    </w:p>
    <w:p>
      <w:pPr>
        <w:pStyle w:val="Heading1"/>
      </w:pPr>
      <w:r>
        <w:t>6. 2D muscle map and display categories</w:t>
      </w:r>
    </w:p>
    <w:p>
      <w:r>
        <w:t>Use a simple front and/or back body silhouette with a limited set of named regions. The selected region should be highlighted, and a legend should always explain the colours.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64A78"/>
          </w:tcPr>
          <w:p>
            <w:pPr>
              <w:spacing w:after="20"/>
            </w:pPr>
            <w:r/>
            <w:r>
              <w:rPr>
                <w:rFonts w:ascii="Aptos" w:hAnsi="Aptos"/>
                <w:b/>
                <w:color w:val="FFFFFF"/>
                <w:sz w:val="18"/>
              </w:rPr>
              <w:t>Category</w:t>
            </w:r>
          </w:p>
        </w:tc>
        <w:tc>
          <w:tcPr>
            <w:tcW w:type="dxa" w:w="3312"/>
            <w:shd w:fill="164A78"/>
          </w:tcPr>
          <w:p>
            <w:pPr>
              <w:spacing w:after="20"/>
            </w:pPr>
            <w:r/>
            <w:r>
              <w:rPr>
                <w:rFonts w:ascii="Aptos" w:hAnsi="Aptos"/>
                <w:b/>
                <w:color w:val="FFFFFF"/>
                <w:sz w:val="18"/>
              </w:rPr>
              <w:t>Suggested appearance</w:t>
            </w:r>
          </w:p>
        </w:tc>
        <w:tc>
          <w:tcPr>
            <w:tcW w:type="dxa" w:w="3312"/>
            <w:shd w:fill="164A78"/>
          </w:tcPr>
          <w:p>
            <w:pPr>
              <w:spacing w:after="20"/>
            </w:pPr>
            <w:r/>
            <w:r>
              <w:rPr>
                <w:rFonts w:ascii="Aptos" w:hAnsi="Aptos"/>
                <w:b/>
                <w:color w:val="FFFFFF"/>
                <w:sz w:val="18"/>
              </w:rPr>
              <w:t>Interpretation</w:t>
            </w:r>
          </w:p>
        </w:tc>
      </w:tr>
      <w:tr>
        <w:tc>
          <w:tcPr>
            <w:tcW w:type="dxa" w:w="3312"/>
          </w:tcPr>
          <w:p>
            <w:pPr>
              <w:spacing w:after="20"/>
            </w:pPr>
            <w:r/>
            <w:r>
              <w:rPr>
                <w:rFonts w:ascii="Aptos" w:hAnsi="Aptos"/>
                <w:b/>
                <w:color w:val="164A78"/>
                <w:sz w:val="16"/>
              </w:rPr>
              <w:t>Low</w:t>
            </w:r>
          </w:p>
        </w:tc>
        <w:tc>
          <w:tcPr>
            <w:tcW w:type="dxa" w:w="3312"/>
          </w:tcPr>
          <w:p>
            <w:pPr>
              <w:spacing w:after="20"/>
            </w:pPr>
            <w:r/>
            <w:r>
              <w:rPr>
                <w:rFonts w:ascii="Aptos" w:hAnsi="Aptos"/>
                <w:b w:val="0"/>
                <w:sz w:val="16"/>
              </w:rPr>
              <w:t>Neutral or cool colour</w:t>
            </w:r>
          </w:p>
        </w:tc>
        <w:tc>
          <w:tcPr>
            <w:tcW w:type="dxa" w:w="3312"/>
          </w:tcPr>
          <w:p>
            <w:pPr>
              <w:spacing w:after="20"/>
            </w:pPr>
            <w:r/>
            <w:r>
              <w:rPr>
                <w:rFonts w:ascii="Aptos" w:hAnsi="Aptos"/>
                <w:b w:val="0"/>
                <w:sz w:val="16"/>
              </w:rPr>
              <w:t>Illustrative display category only</w:t>
            </w:r>
          </w:p>
        </w:tc>
      </w:tr>
      <w:tr>
        <w:tc>
          <w:tcPr>
            <w:tcW w:type="dxa" w:w="3312"/>
          </w:tcPr>
          <w:p>
            <w:pPr>
              <w:spacing w:after="20"/>
            </w:pPr>
            <w:r/>
            <w:r>
              <w:rPr>
                <w:rFonts w:ascii="Aptos" w:hAnsi="Aptos"/>
                <w:b/>
                <w:color w:val="164A78"/>
                <w:sz w:val="16"/>
              </w:rPr>
              <w:t>Moderate</w:t>
            </w:r>
          </w:p>
        </w:tc>
        <w:tc>
          <w:tcPr>
            <w:tcW w:type="dxa" w:w="3312"/>
          </w:tcPr>
          <w:p>
            <w:pPr>
              <w:spacing w:after="20"/>
            </w:pPr>
            <w:r/>
            <w:r>
              <w:rPr>
                <w:rFonts w:ascii="Aptos" w:hAnsi="Aptos"/>
                <w:b w:val="0"/>
                <w:sz w:val="16"/>
              </w:rPr>
              <w:t>Amber or yellow</w:t>
            </w:r>
          </w:p>
        </w:tc>
        <w:tc>
          <w:tcPr>
            <w:tcW w:type="dxa" w:w="3312"/>
          </w:tcPr>
          <w:p>
            <w:pPr>
              <w:spacing w:after="20"/>
            </w:pPr>
            <w:r/>
            <w:r>
              <w:rPr>
                <w:rFonts w:ascii="Aptos" w:hAnsi="Aptos"/>
                <w:b w:val="0"/>
                <w:sz w:val="16"/>
              </w:rPr>
              <w:t>Illustrative display category only</w:t>
            </w:r>
          </w:p>
        </w:tc>
      </w:tr>
      <w:tr>
        <w:tc>
          <w:tcPr>
            <w:tcW w:type="dxa" w:w="3312"/>
          </w:tcPr>
          <w:p>
            <w:pPr>
              <w:spacing w:after="20"/>
            </w:pPr>
            <w:r/>
            <w:r>
              <w:rPr>
                <w:rFonts w:ascii="Aptos" w:hAnsi="Aptos"/>
                <w:b/>
                <w:color w:val="164A78"/>
                <w:sz w:val="16"/>
              </w:rPr>
              <w:t>Elevated</w:t>
            </w:r>
          </w:p>
        </w:tc>
        <w:tc>
          <w:tcPr>
            <w:tcW w:type="dxa" w:w="3312"/>
          </w:tcPr>
          <w:p>
            <w:pPr>
              <w:spacing w:after="20"/>
            </w:pPr>
            <w:r/>
            <w:r>
              <w:rPr>
                <w:rFonts w:ascii="Aptos" w:hAnsi="Aptos"/>
                <w:b w:val="0"/>
                <w:sz w:val="16"/>
              </w:rPr>
              <w:t>Red or high-attention colour</w:t>
            </w:r>
          </w:p>
        </w:tc>
        <w:tc>
          <w:tcPr>
            <w:tcW w:type="dxa" w:w="3312"/>
          </w:tcPr>
          <w:p>
            <w:pPr>
              <w:spacing w:after="20"/>
            </w:pPr>
            <w:r/>
            <w:r>
              <w:rPr>
                <w:rFonts w:ascii="Aptos" w:hAnsi="Aptos"/>
                <w:b w:val="0"/>
                <w:sz w:val="16"/>
              </w:rPr>
              <w:t>Illustrative display category only</w:t>
            </w:r>
          </w:p>
        </w:tc>
      </w:tr>
      <w:tr>
        <w:tc>
          <w:tcPr>
            <w:tcW w:type="dxa" w:w="3312"/>
          </w:tcPr>
          <w:p>
            <w:pPr>
              <w:spacing w:after="20"/>
            </w:pPr>
            <w:r/>
            <w:r>
              <w:rPr>
                <w:rFonts w:ascii="Aptos" w:hAnsi="Aptos"/>
                <w:b/>
                <w:color w:val="164A78"/>
                <w:sz w:val="16"/>
              </w:rPr>
              <w:t>No data</w:t>
            </w:r>
          </w:p>
        </w:tc>
        <w:tc>
          <w:tcPr>
            <w:tcW w:type="dxa" w:w="3312"/>
          </w:tcPr>
          <w:p>
            <w:pPr>
              <w:spacing w:after="20"/>
            </w:pPr>
            <w:r/>
            <w:r>
              <w:rPr>
                <w:rFonts w:ascii="Aptos" w:hAnsi="Aptos"/>
                <w:b w:val="0"/>
                <w:sz w:val="16"/>
              </w:rPr>
              <w:t>Grey or patterned fill</w:t>
            </w:r>
          </w:p>
        </w:tc>
        <w:tc>
          <w:tcPr>
            <w:tcW w:type="dxa" w:w="3312"/>
          </w:tcPr>
          <w:p>
            <w:pPr>
              <w:spacing w:after="20"/>
            </w:pPr>
            <w:r/>
            <w:r>
              <w:rPr>
                <w:rFonts w:ascii="Aptos" w:hAnsi="Aptos"/>
                <w:b w:val="0"/>
                <w:sz w:val="16"/>
              </w:rPr>
              <w:t>Reading unavailable, not received, or not selected</w:t>
            </w:r>
          </w:p>
        </w:tc>
      </w:tr>
    </w:tbl>
    <w:p>
      <w:r>
        <w:t>For the demo, categories should follow simple documented visualisation rules and be labelled illustrative. Do not imply that thresholds are clinically validated. Use text labels or patterns as well as colour for accessibility.</w:t>
      </w:r>
    </w:p>
    <w:p>
      <w:pPr>
        <w:pStyle w:val="Heading1"/>
      </w:pPr>
      <w:r>
        <w:t>7. Statistics and visualisation</w:t>
      </w:r>
    </w:p>
    <w:p>
      <w:pPr>
        <w:pStyle w:val="ListBullet"/>
        <w:spacing w:after="40"/>
      </w:pPr>
      <w:r>
        <w:t>Current value for the selected input or region.</w:t>
      </w:r>
    </w:p>
    <w:p>
      <w:pPr>
        <w:pStyle w:val="ListBullet"/>
        <w:spacing w:after="40"/>
      </w:pPr>
      <w:r>
        <w:t>Minimum, maximum, and average across displayed demo readings.</w:t>
      </w:r>
    </w:p>
    <w:p>
      <w:pPr>
        <w:pStyle w:val="ListBullet"/>
        <w:spacing w:after="40"/>
      </w:pPr>
      <w:r>
        <w:t>Category counts: number of regions in each display category.</w:t>
      </w:r>
    </w:p>
    <w:p>
      <w:pPr>
        <w:pStyle w:val="ListBullet"/>
        <w:spacing w:after="40"/>
      </w:pPr>
      <w:r>
        <w:t>Bar chart comparing selected regions or input channels.</w:t>
      </w:r>
    </w:p>
    <w:p>
      <w:pPr>
        <w:pStyle w:val="ListBullet"/>
        <w:spacing w:after="40"/>
      </w:pPr>
      <w:r>
        <w:t>Trend line showing a value changing as a slider moves or a short simulation plays.</w:t>
      </w:r>
    </w:p>
    <w:p>
      <w:pPr>
        <w:pStyle w:val="ListBullet"/>
        <w:spacing w:after="40"/>
      </w:pPr>
      <w:r>
        <w:t>Comparison of two illustrative scenarios, such as Scenario A and Scenario B.</w:t>
      </w:r>
    </w:p>
    <w:p>
      <w:pPr>
        <w:pStyle w:val="ListBullet"/>
        <w:spacing w:after="40"/>
      </w:pPr>
      <w:r>
        <w:t>Plain-language tooltips that explain metrics without exposing internal analytical logic.</w:t>
      </w:r>
    </w:p>
    <w:p>
      <w:pPr>
        <w:pStyle w:val="Heading1"/>
      </w:pPr>
      <w:r>
        <w:t>8. Interaction flow</w:t>
      </w:r>
    </w:p>
    <w:p>
      <w:pPr>
        <w:pStyle w:val="ListNumber"/>
        <w:spacing w:after="40"/>
      </w:pPr>
      <w:r>
        <w:t>Presenter opens the dashboard in Demo Mode.</w:t>
      </w:r>
    </w:p>
    <w:p>
      <w:pPr>
        <w:pStyle w:val="ListNumber"/>
        <w:spacing w:after="40"/>
      </w:pPr>
      <w:r>
        <w:t>Dashboard loads a clearly labelled sample scenario.</w:t>
      </w:r>
    </w:p>
    <w:p>
      <w:pPr>
        <w:pStyle w:val="ListNumber"/>
        <w:spacing w:after="40"/>
      </w:pPr>
      <w:r>
        <w:t>Presenter adjusts one or more sliders.</w:t>
      </w:r>
    </w:p>
    <w:p>
      <w:pPr>
        <w:pStyle w:val="ListNumber"/>
        <w:spacing w:after="40"/>
      </w:pPr>
      <w:r>
        <w:t>Numeric values and related charts update immediately.</w:t>
      </w:r>
    </w:p>
    <w:p>
      <w:pPr>
        <w:pStyle w:val="ListNumber"/>
        <w:spacing w:after="40"/>
      </w:pPr>
      <w:r>
        <w:t>The 2D map updates relevant display categories using documented demo rules.</w:t>
      </w:r>
    </w:p>
    <w:p>
      <w:pPr>
        <w:pStyle w:val="ListNumber"/>
        <w:spacing w:after="40"/>
      </w:pPr>
      <w:r>
        <w:t>Presenter selects a region to see its value, category, and a short explanation.</w:t>
      </w:r>
    </w:p>
    <w:p>
      <w:pPr>
        <w:pStyle w:val="ListNumber"/>
        <w:spacing w:after="40"/>
      </w:pPr>
      <w:r>
        <w:t>Presenter resets values, loads another scenario, or returns to the default view.</w:t>
      </w:r>
    </w:p>
    <w:p>
      <w:pPr>
        <w:pStyle w:val="Heading1"/>
      </w:pPr>
      <w:r>
        <w:t>9. Recommended screen layout</w:t>
      </w:r>
    </w:p>
    <w:tbl>
      <w:tblPr>
        <w:tblStyle w:val="LightShading-Accent1"/>
        <w:tblW w:type="auto" w:w="0"/>
        <w:jc w:val="center"/>
        <w:tblLook w:firstColumn="1" w:firstRow="1" w:lastColumn="0" w:lastRow="0" w:noHBand="0" w:noVBand="1" w:val="04A0"/>
      </w:tblPr>
      <w:tblGrid>
        <w:gridCol w:w="4968"/>
        <w:gridCol w:w="4968"/>
      </w:tblGrid>
      <w:tr>
        <w:tc>
          <w:tcPr>
            <w:tcW w:type="dxa" w:w="4968"/>
            <w:shd w:fill="164A78"/>
          </w:tcPr>
          <w:p>
            <w:pPr>
              <w:spacing w:after="20"/>
            </w:pPr>
            <w:r/>
            <w:r>
              <w:rPr>
                <w:rFonts w:ascii="Aptos" w:hAnsi="Aptos"/>
                <w:b/>
                <w:color w:val="FFFFFF"/>
                <w:sz w:val="18"/>
              </w:rPr>
              <w:t>Area</w:t>
            </w:r>
          </w:p>
        </w:tc>
        <w:tc>
          <w:tcPr>
            <w:tcW w:type="dxa" w:w="4968"/>
            <w:shd w:fill="164A78"/>
          </w:tcPr>
          <w:p>
            <w:pPr>
              <w:spacing w:after="20"/>
            </w:pPr>
            <w:r/>
            <w:r>
              <w:rPr>
                <w:rFonts w:ascii="Aptos" w:hAnsi="Aptos"/>
                <w:b/>
                <w:color w:val="FFFFFF"/>
                <w:sz w:val="18"/>
              </w:rPr>
              <w:t>Contents</w:t>
            </w:r>
          </w:p>
        </w:tc>
      </w:tr>
      <w:tr>
        <w:tc>
          <w:tcPr>
            <w:tcW w:type="dxa" w:w="4968"/>
          </w:tcPr>
          <w:p>
            <w:pPr>
              <w:spacing w:after="20"/>
            </w:pPr>
            <w:r/>
            <w:r>
              <w:rPr>
                <w:rFonts w:ascii="Aptos" w:hAnsi="Aptos"/>
                <w:b/>
                <w:color w:val="164A78"/>
                <w:sz w:val="16"/>
              </w:rPr>
              <w:t>Top bar</w:t>
            </w:r>
          </w:p>
        </w:tc>
        <w:tc>
          <w:tcPr>
            <w:tcW w:type="dxa" w:w="4968"/>
          </w:tcPr>
          <w:p>
            <w:pPr>
              <w:spacing w:after="20"/>
            </w:pPr>
            <w:r/>
            <w:r>
              <w:rPr>
                <w:rFonts w:ascii="Aptos" w:hAnsi="Aptos"/>
                <w:b w:val="0"/>
                <w:sz w:val="16"/>
              </w:rPr>
              <w:t>Prototype title, Demo Mode label, session status, Reset button.</w:t>
            </w:r>
          </w:p>
        </w:tc>
      </w:tr>
      <w:tr>
        <w:tc>
          <w:tcPr>
            <w:tcW w:type="dxa" w:w="4968"/>
          </w:tcPr>
          <w:p>
            <w:pPr>
              <w:spacing w:after="20"/>
            </w:pPr>
            <w:r/>
            <w:r>
              <w:rPr>
                <w:rFonts w:ascii="Aptos" w:hAnsi="Aptos"/>
                <w:b/>
                <w:color w:val="164A78"/>
                <w:sz w:val="16"/>
              </w:rPr>
              <w:t>Left panel</w:t>
            </w:r>
          </w:p>
        </w:tc>
        <w:tc>
          <w:tcPr>
            <w:tcW w:type="dxa" w:w="4968"/>
          </w:tcPr>
          <w:p>
            <w:pPr>
              <w:spacing w:after="20"/>
            </w:pPr>
            <w:r/>
            <w:r>
              <w:rPr>
                <w:rFonts w:ascii="Aptos" w:hAnsi="Aptos"/>
                <w:b w:val="0"/>
                <w:sz w:val="16"/>
              </w:rPr>
              <w:t>Slider controls and optional sample-scenario selector.</w:t>
            </w:r>
          </w:p>
        </w:tc>
      </w:tr>
      <w:tr>
        <w:tc>
          <w:tcPr>
            <w:tcW w:type="dxa" w:w="4968"/>
          </w:tcPr>
          <w:p>
            <w:pPr>
              <w:spacing w:after="20"/>
            </w:pPr>
            <w:r/>
            <w:r>
              <w:rPr>
                <w:rFonts w:ascii="Aptos" w:hAnsi="Aptos"/>
                <w:b/>
                <w:color w:val="164A78"/>
                <w:sz w:val="16"/>
              </w:rPr>
              <w:t>Centre panel</w:t>
            </w:r>
          </w:p>
        </w:tc>
        <w:tc>
          <w:tcPr>
            <w:tcW w:type="dxa" w:w="4968"/>
          </w:tcPr>
          <w:p>
            <w:pPr>
              <w:spacing w:after="20"/>
            </w:pPr>
            <w:r/>
            <w:r>
              <w:rPr>
                <w:rFonts w:ascii="Aptos" w:hAnsi="Aptos"/>
                <w:b w:val="0"/>
                <w:sz w:val="16"/>
              </w:rPr>
              <w:t>Large 2D muscle map with region labels and colour legend.</w:t>
            </w:r>
          </w:p>
        </w:tc>
      </w:tr>
      <w:tr>
        <w:tc>
          <w:tcPr>
            <w:tcW w:type="dxa" w:w="4968"/>
          </w:tcPr>
          <w:p>
            <w:pPr>
              <w:spacing w:after="20"/>
            </w:pPr>
            <w:r/>
            <w:r>
              <w:rPr>
                <w:rFonts w:ascii="Aptos" w:hAnsi="Aptos"/>
                <w:b/>
                <w:color w:val="164A78"/>
                <w:sz w:val="16"/>
              </w:rPr>
              <w:t>Right panel</w:t>
            </w:r>
          </w:p>
        </w:tc>
        <w:tc>
          <w:tcPr>
            <w:tcW w:type="dxa" w:w="4968"/>
          </w:tcPr>
          <w:p>
            <w:pPr>
              <w:spacing w:after="20"/>
            </w:pPr>
            <w:r/>
            <w:r>
              <w:rPr>
                <w:rFonts w:ascii="Aptos" w:hAnsi="Aptos"/>
                <w:b w:val="0"/>
                <w:sz w:val="16"/>
              </w:rPr>
              <w:t>Selected-region details and summary statistic cards.</w:t>
            </w:r>
          </w:p>
        </w:tc>
      </w:tr>
      <w:tr>
        <w:tc>
          <w:tcPr>
            <w:tcW w:type="dxa" w:w="4968"/>
          </w:tcPr>
          <w:p>
            <w:pPr>
              <w:spacing w:after="20"/>
            </w:pPr>
            <w:r/>
            <w:r>
              <w:rPr>
                <w:rFonts w:ascii="Aptos" w:hAnsi="Aptos"/>
                <w:b/>
                <w:color w:val="164A78"/>
                <w:sz w:val="16"/>
              </w:rPr>
              <w:t>Bottom panel</w:t>
            </w:r>
          </w:p>
        </w:tc>
        <w:tc>
          <w:tcPr>
            <w:tcW w:type="dxa" w:w="4968"/>
          </w:tcPr>
          <w:p>
            <w:pPr>
              <w:spacing w:after="20"/>
            </w:pPr>
            <w:r/>
            <w:r>
              <w:rPr>
                <w:rFonts w:ascii="Aptos" w:hAnsi="Aptos"/>
                <w:b w:val="0"/>
                <w:sz w:val="16"/>
              </w:rPr>
              <w:t>Bar chart, small trend chart, and comparison view.</w:t>
            </w:r>
          </w:p>
        </w:tc>
      </w:tr>
    </w:tbl>
    <w:p>
      <w:pPr>
        <w:pStyle w:val="Heading1"/>
      </w:pPr>
      <w:r>
        <w:t>10. Functional requirements</w:t>
      </w:r>
    </w:p>
    <w:p>
      <w:pPr>
        <w:pStyle w:val="ListBullet"/>
        <w:spacing w:after="40"/>
      </w:pPr>
      <w:r>
        <w:t>Sliders show current value and have defined minimum, maximum, and step size.</w:t>
      </w:r>
    </w:p>
    <w:p>
      <w:pPr>
        <w:pStyle w:val="ListBullet"/>
        <w:spacing w:after="40"/>
      </w:pPr>
      <w:r>
        <w:t>Visualisations update consistently when a slider changes.</w:t>
      </w:r>
    </w:p>
    <w:p>
      <w:pPr>
        <w:pStyle w:val="ListBullet"/>
        <w:spacing w:after="40"/>
      </w:pPr>
      <w:r>
        <w:t>The map includes a visible legend and a No Data state.</w:t>
      </w:r>
    </w:p>
    <w:p>
      <w:pPr>
        <w:pStyle w:val="ListBullet"/>
        <w:spacing w:after="40"/>
      </w:pPr>
      <w:r>
        <w:t>Every chart has a title, labels, units where relevant, and readable text.</w:t>
      </w:r>
    </w:p>
    <w:p>
      <w:pPr>
        <w:pStyle w:val="ListBullet"/>
        <w:spacing w:after="40"/>
      </w:pPr>
      <w:r>
        <w:t>Reset restores the documented default scenario.</w:t>
      </w:r>
    </w:p>
    <w:p>
      <w:pPr>
        <w:pStyle w:val="ListBullet"/>
        <w:spacing w:after="40"/>
      </w:pPr>
      <w:r>
        <w:t>Sample scenarios are repeatable.</w:t>
      </w:r>
    </w:p>
    <w:p>
      <w:pPr>
        <w:pStyle w:val="ListBullet"/>
        <w:spacing w:after="40"/>
      </w:pPr>
      <w:r>
        <w:t>The interface clearly indicates simulated or illustrative values.</w:t>
      </w:r>
    </w:p>
    <w:p>
      <w:pPr>
        <w:pStyle w:val="ListBullet"/>
        <w:spacing w:after="40"/>
      </w:pPr>
      <w:r>
        <w:t>No advanced AI inference or confidential analysis module is included.</w:t>
      </w:r>
    </w:p>
    <w:p>
      <w:pPr>
        <w:pStyle w:val="ListBullet"/>
        <w:spacing w:after="40"/>
      </w:pPr>
      <w:r>
        <w:t>No hidden backend calls send demo readings to confidential project services.</w:t>
      </w:r>
    </w:p>
    <w:p>
      <w:pPr>
        <w:pStyle w:val="ListBullet"/>
        <w:spacing w:after="40"/>
      </w:pPr>
      <w:r>
        <w:t>Any exported image or report retains the demo/illustrative-data label.</w:t>
      </w:r>
    </w:p>
    <w:p>
      <w:pPr>
        <w:pStyle w:val="Heading1"/>
      </w:pPr>
      <w:r>
        <w:t>11. Non-functional requirements</w:t>
      </w:r>
    </w:p>
    <w:p>
      <w:pPr>
        <w:pStyle w:val="ListBullet"/>
        <w:spacing w:after="40"/>
      </w:pPr>
      <w:r>
        <w:t>Clarity: a first-time viewer should understand the screen without a long explanation.</w:t>
      </w:r>
    </w:p>
    <w:p>
      <w:pPr>
        <w:pStyle w:val="ListBullet"/>
        <w:spacing w:after="40"/>
      </w:pPr>
      <w:r>
        <w:t>Responsiveness: slider changes should update visual elements quickly enough for a live demo.</w:t>
      </w:r>
    </w:p>
    <w:p>
      <w:pPr>
        <w:pStyle w:val="ListBullet"/>
        <w:spacing w:after="40"/>
      </w:pPr>
      <w:r>
        <w:t>Portability: the dashboard should work on the intended laptop or display size.</w:t>
      </w:r>
    </w:p>
    <w:p>
      <w:pPr>
        <w:pStyle w:val="ListBullet"/>
        <w:spacing w:after="40"/>
      </w:pPr>
      <w:r>
        <w:t>Accessibility: readable contrast, legible labels, and colour-independent status cues.</w:t>
      </w:r>
    </w:p>
    <w:p>
      <w:pPr>
        <w:pStyle w:val="ListBullet"/>
        <w:spacing w:after="40"/>
      </w:pPr>
      <w:r>
        <w:t>Reliability: reset and scenario controls behave consistently.</w:t>
      </w:r>
    </w:p>
    <w:p>
      <w:pPr>
        <w:pStyle w:val="ListBullet"/>
        <w:spacing w:after="40"/>
      </w:pPr>
      <w:r>
        <w:t>Privacy: use synthetic values and avoid identifiable patient data.</w:t>
      </w:r>
    </w:p>
    <w:p>
      <w:pPr>
        <w:pStyle w:val="ListBullet"/>
        <w:spacing w:after="40"/>
      </w:pPr>
      <w:r>
        <w:t>Maintainability: keep display rules, sample data, and UI components separate and documented.</w:t>
      </w:r>
    </w:p>
    <w:p>
      <w:pPr>
        <w:pStyle w:val="Heading1"/>
      </w:pPr>
      <w:r>
        <w:t>12. Confidentiality boundaries</w:t>
      </w:r>
    </w:p>
    <w:p>
      <w:r>
        <w:t>The basic dashboard is deliberately a visual demonstration layer. Its goal is to show the interface concept and the value of presenting multiple readings clearly without disclosing advanced or proprietary functionality.</w:t>
      </w:r>
    </w:p>
    <w:tbl>
      <w:tblPr>
        <w:tblStyle w:val="LightShading-Accent1"/>
        <w:tblW w:type="auto" w:w="0"/>
        <w:jc w:val="center"/>
        <w:tblLook w:firstColumn="1" w:firstRow="1" w:lastColumn="0" w:lastRow="0" w:noHBand="0" w:noVBand="1" w:val="04A0"/>
      </w:tblPr>
      <w:tblGrid>
        <w:gridCol w:w="4968"/>
        <w:gridCol w:w="4968"/>
      </w:tblGrid>
      <w:tr>
        <w:tc>
          <w:tcPr>
            <w:tcW w:type="dxa" w:w="4968"/>
            <w:shd w:fill="164A78"/>
          </w:tcPr>
          <w:p>
            <w:pPr>
              <w:spacing w:after="20"/>
            </w:pPr>
            <w:r/>
            <w:r>
              <w:rPr>
                <w:rFonts w:ascii="Aptos" w:hAnsi="Aptos"/>
                <w:b/>
                <w:color w:val="FFFFFF"/>
                <w:sz w:val="18"/>
              </w:rPr>
              <w:t>Include in the basic demo</w:t>
            </w:r>
          </w:p>
        </w:tc>
        <w:tc>
          <w:tcPr>
            <w:tcW w:type="dxa" w:w="4968"/>
            <w:shd w:fill="164A78"/>
          </w:tcPr>
          <w:p>
            <w:pPr>
              <w:spacing w:after="20"/>
            </w:pPr>
            <w:r/>
            <w:r>
              <w:rPr>
                <w:rFonts w:ascii="Aptos" w:hAnsi="Aptos"/>
                <w:b/>
                <w:color w:val="FFFFFF"/>
                <w:sz w:val="18"/>
              </w:rPr>
              <w:t>Keep out of the basic demo</w:t>
            </w:r>
          </w:p>
        </w:tc>
      </w:tr>
      <w:tr>
        <w:tc>
          <w:tcPr>
            <w:tcW w:type="dxa" w:w="4968"/>
          </w:tcPr>
          <w:p>
            <w:pPr>
              <w:spacing w:after="20"/>
            </w:pPr>
            <w:r/>
            <w:r>
              <w:rPr>
                <w:rFonts w:ascii="Aptos" w:hAnsi="Aptos"/>
                <w:b/>
                <w:color w:val="164A78"/>
                <w:sz w:val="16"/>
              </w:rPr>
              <w:t>Slider-based changes to illustrative inputs.</w:t>
            </w:r>
          </w:p>
        </w:tc>
        <w:tc>
          <w:tcPr>
            <w:tcW w:type="dxa" w:w="4968"/>
          </w:tcPr>
          <w:p>
            <w:pPr>
              <w:spacing w:after="20"/>
            </w:pPr>
            <w:r/>
            <w:r>
              <w:rPr>
                <w:rFonts w:ascii="Aptos" w:hAnsi="Aptos"/>
                <w:b w:val="0"/>
                <w:sz w:val="16"/>
              </w:rPr>
              <w:t>Advanced AI models, model architecture, weights, prompts, and inference pipeline.</w:t>
            </w:r>
          </w:p>
        </w:tc>
      </w:tr>
      <w:tr>
        <w:tc>
          <w:tcPr>
            <w:tcW w:type="dxa" w:w="4968"/>
          </w:tcPr>
          <w:p>
            <w:pPr>
              <w:spacing w:after="20"/>
            </w:pPr>
            <w:r/>
            <w:r>
              <w:rPr>
                <w:rFonts w:ascii="Aptos" w:hAnsi="Aptos"/>
                <w:b/>
                <w:color w:val="164A78"/>
                <w:sz w:val="16"/>
              </w:rPr>
              <w:t>A 2D muscle map and simple colour-coded display categories.</w:t>
            </w:r>
          </w:p>
        </w:tc>
        <w:tc>
          <w:tcPr>
            <w:tcW w:type="dxa" w:w="4968"/>
          </w:tcPr>
          <w:p>
            <w:pPr>
              <w:spacing w:after="20"/>
            </w:pPr>
            <w:r/>
            <w:r>
              <w:rPr>
                <w:rFonts w:ascii="Aptos" w:hAnsi="Aptos"/>
                <w:b w:val="0"/>
                <w:sz w:val="16"/>
              </w:rPr>
              <w:t>Proprietary signal-fusion or cross-signal interpretation methods.</w:t>
            </w:r>
          </w:p>
        </w:tc>
      </w:tr>
      <w:tr>
        <w:tc>
          <w:tcPr>
            <w:tcW w:type="dxa" w:w="4968"/>
          </w:tcPr>
          <w:p>
            <w:pPr>
              <w:spacing w:after="20"/>
            </w:pPr>
            <w:r/>
            <w:r>
              <w:rPr>
                <w:rFonts w:ascii="Aptos" w:hAnsi="Aptos"/>
                <w:b/>
                <w:color w:val="164A78"/>
                <w:sz w:val="16"/>
              </w:rPr>
              <w:t>Descriptive statistics, charts, legends, and basic comparisons.</w:t>
            </w:r>
          </w:p>
        </w:tc>
        <w:tc>
          <w:tcPr>
            <w:tcW w:type="dxa" w:w="4968"/>
          </w:tcPr>
          <w:p>
            <w:pPr>
              <w:spacing w:after="20"/>
            </w:pPr>
            <w:r/>
            <w:r>
              <w:rPr>
                <w:rFonts w:ascii="Aptos" w:hAnsi="Aptos"/>
                <w:b w:val="0"/>
                <w:sz w:val="16"/>
              </w:rPr>
              <w:t>Unique diagnostic logic, hidden rules, or internal feature-engineering details.</w:t>
            </w:r>
          </w:p>
        </w:tc>
      </w:tr>
      <w:tr>
        <w:tc>
          <w:tcPr>
            <w:tcW w:type="dxa" w:w="4968"/>
          </w:tcPr>
          <w:p>
            <w:pPr>
              <w:spacing w:after="20"/>
            </w:pPr>
            <w:r/>
            <w:r>
              <w:rPr>
                <w:rFonts w:ascii="Aptos" w:hAnsi="Aptos"/>
                <w:b/>
                <w:color w:val="164A78"/>
                <w:sz w:val="16"/>
              </w:rPr>
              <w:t>Demo scenarios, reset controls, and screenshot-friendly summaries.</w:t>
            </w:r>
          </w:p>
        </w:tc>
        <w:tc>
          <w:tcPr>
            <w:tcW w:type="dxa" w:w="4968"/>
          </w:tcPr>
          <w:p>
            <w:pPr>
              <w:spacing w:after="20"/>
            </w:pPr>
            <w:r/>
            <w:r>
              <w:rPr>
                <w:rFonts w:ascii="Aptos" w:hAnsi="Aptos"/>
                <w:b w:val="0"/>
                <w:sz w:val="16"/>
              </w:rPr>
              <w:t>Production patient records, credentials, API keys, or private server endpoints.</w:t>
            </w:r>
          </w:p>
        </w:tc>
      </w:tr>
      <w:tr>
        <w:tc>
          <w:tcPr>
            <w:tcW w:type="dxa" w:w="4968"/>
          </w:tcPr>
          <w:p>
            <w:pPr>
              <w:spacing w:after="20"/>
            </w:pPr>
            <w:r/>
            <w:r>
              <w:rPr>
                <w:rFonts w:ascii="Aptos" w:hAnsi="Aptos"/>
                <w:b/>
                <w:color w:val="164A78"/>
                <w:sz w:val="16"/>
              </w:rPr>
              <w:t>Clearly labelled illustrative output.</w:t>
            </w:r>
          </w:p>
        </w:tc>
        <w:tc>
          <w:tcPr>
            <w:tcW w:type="dxa" w:w="4968"/>
          </w:tcPr>
          <w:p>
            <w:pPr>
              <w:spacing w:after="20"/>
            </w:pPr>
            <w:r/>
            <w:r>
              <w:rPr>
                <w:rFonts w:ascii="Aptos" w:hAnsi="Aptos"/>
                <w:b w:val="0"/>
                <w:sz w:val="16"/>
              </w:rPr>
              <w:t>Claims that the basic prototype independently diagnoses a condition.</w:t>
            </w:r>
          </w:p>
        </w:tc>
      </w:tr>
    </w:tbl>
    <w:tbl>
      <w:tblPr>
        <w:tblW w:type="auto" w:w="0"/>
        <w:tblLook w:firstColumn="1" w:firstRow="1" w:lastColumn="0" w:lastRow="0" w:noHBand="0" w:noVBand="1" w:val="04A0"/>
      </w:tblPr>
      <w:tblGrid>
        <w:gridCol w:w="9936"/>
      </w:tblGrid>
      <w:tr>
        <w:tc>
          <w:tcPr>
            <w:tcW w:type="dxa" w:w="9936"/>
            <w:shd w:fill="FFF3D9"/>
          </w:tcPr>
          <w:p>
            <w:pPr>
              <w:spacing w:after="40"/>
            </w:pPr>
            <w:r>
              <w:rPr>
                <w:b/>
                <w:color w:val="164A78"/>
                <w:sz w:val="20"/>
              </w:rPr>
              <w:t>Practical confidentiality note</w:t>
              <w:br/>
            </w:r>
            <w:r>
              <w:rPr>
                <w:sz w:val="18"/>
              </w:rPr>
              <w:t>A separate demo interface is helpful, but it is not by itself a guarantee of confidentiality. Use a separate codebase or build configuration, synthetic data, separate credentials, and no connection to private services. Review screenshots, browser network activity, logs, and exported files before public demonstrations.</w:t>
            </w:r>
          </w:p>
        </w:tc>
      </w:tr>
    </w:tbl>
    <w:p>
      <w:pPr>
        <w:spacing w:after="20"/>
      </w:pPr>
    </w:p>
    <w:p>
      <w:pPr>
        <w:pStyle w:val="Heading1"/>
      </w:pPr>
      <w:r>
        <w:t>13. Suggested technology approach</w:t>
      </w:r>
    </w:p>
    <w:p>
      <w:r>
        <w:t>Choose a simple web dashboard stack the team can maintain. A standard frontend framework with a charting library and a 2D SVG-based body/muscle illustration is sufficient for the initial prototype. The demo can run locally with predefined sample data; it does not require a cloud AI service.</w:t>
      </w:r>
    </w:p>
    <w:p>
      <w:pPr>
        <w:pStyle w:val="ListBullet"/>
        <w:spacing w:after="40"/>
      </w:pPr>
      <w:r>
        <w:t>Frontend: a responsive web interface built with the team's familiar framework.</w:t>
      </w:r>
    </w:p>
    <w:p>
      <w:pPr>
        <w:pStyle w:val="ListBullet"/>
        <w:spacing w:after="40"/>
      </w:pPr>
      <w:r>
        <w:t>Muscle map: SVG or another interactive 2D vector illustration with selectable regions.</w:t>
      </w:r>
    </w:p>
    <w:p>
      <w:pPr>
        <w:pStyle w:val="ListBullet"/>
        <w:spacing w:after="40"/>
      </w:pPr>
      <w:r>
        <w:t>Charts: a lightweight library for bar charts, trend lines, and summary views.</w:t>
      </w:r>
    </w:p>
    <w:p>
      <w:pPr>
        <w:pStyle w:val="ListBullet"/>
        <w:spacing w:after="40"/>
      </w:pPr>
      <w:r>
        <w:t>Demo data: local synthetic sample values and documented display rules.</w:t>
      </w:r>
    </w:p>
    <w:p>
      <w:pPr>
        <w:pStyle w:val="ListBullet"/>
        <w:spacing w:after="40"/>
      </w:pPr>
      <w:r>
        <w:t>Backend: optional for the first demo; if required, keep it separate from confidential project services.</w:t>
      </w:r>
    </w:p>
    <w:p>
      <w:pPr>
        <w:pStyle w:val="Heading1"/>
      </w:pPr>
      <w:r>
        <w:t>14. Acceptance checklist</w:t>
      </w:r>
    </w:p>
    <w:p>
      <w:pPr>
        <w:pStyle w:val="ListBullet"/>
        <w:spacing w:after="40"/>
      </w:pPr>
      <w:r>
        <w:t>A presenter can open the demo and see the Illustrative Data label.</w:t>
      </w:r>
    </w:p>
    <w:p>
      <w:pPr>
        <w:pStyle w:val="ListBullet"/>
        <w:spacing w:after="40"/>
      </w:pPr>
      <w:r>
        <w:t>All sliders have clear names, values, ranges, and units or normalised labels.</w:t>
      </w:r>
    </w:p>
    <w:p>
      <w:pPr>
        <w:pStyle w:val="ListBullet"/>
        <w:spacing w:after="40"/>
      </w:pPr>
      <w:r>
        <w:t>Changing a slider updates the intended charts, statistics, and map regions.</w:t>
      </w:r>
    </w:p>
    <w:p>
      <w:pPr>
        <w:pStyle w:val="ListBullet"/>
        <w:spacing w:after="40"/>
      </w:pPr>
      <w:r>
        <w:t>The muscle map includes region labels and a clear legend.</w:t>
      </w:r>
    </w:p>
    <w:p>
      <w:pPr>
        <w:pStyle w:val="ListBullet"/>
        <w:spacing w:after="40"/>
      </w:pPr>
      <w:r>
        <w:t>The user can select a region and understand the displayed value.</w:t>
      </w:r>
    </w:p>
    <w:p>
      <w:pPr>
        <w:pStyle w:val="ListBullet"/>
        <w:spacing w:after="40"/>
      </w:pPr>
      <w:r>
        <w:t>Reset and sample-scenario controls work reliably.</w:t>
      </w:r>
    </w:p>
    <w:p>
      <w:pPr>
        <w:pStyle w:val="ListBullet"/>
        <w:spacing w:after="40"/>
      </w:pPr>
      <w:r>
        <w:t>The layout remains readable on the planned demonstration display.</w:t>
      </w:r>
    </w:p>
    <w:p>
      <w:pPr>
        <w:pStyle w:val="ListBullet"/>
        <w:spacing w:after="40"/>
      </w:pPr>
      <w:r>
        <w:t>No confidential model, proprietary logic, patient record, or private service connection is present.</w:t>
      </w:r>
    </w:p>
    <w:p>
      <w:pPr>
        <w:pStyle w:val="ListBullet"/>
        <w:spacing w:after="40"/>
      </w:pPr>
      <w:r>
        <w:t>Exported screenshots and reports state that values are illustrative.</w:t>
      </w:r>
    </w:p>
    <w:p>
      <w:pPr>
        <w:pStyle w:val="Heading1"/>
      </w:pPr>
      <w:r>
        <w:t>15. Final summary</w:t>
      </w:r>
    </w:p>
    <w:p>
      <w:r>
        <w:t>The Basic Physiotherapy Dashboard is a non-AI visualisation prototype for demonstrations. It accepts manually adjusted or simulated readings, displays them through simple statistics and charts, and uses a 2D muscle map to show illustrative categories. It communicates the general idea of making readings easier to view without exposing the advanced analysis or proprietary logic of the main project.</w:t>
      </w:r>
    </w:p>
    <w:tbl>
      <w:tblPr>
        <w:tblW w:type="auto" w:w="0"/>
        <w:tblLook w:firstColumn="1" w:firstRow="1" w:lastColumn="0" w:lastRow="0" w:noHBand="0" w:noVBand="1" w:val="04A0"/>
      </w:tblPr>
      <w:tblGrid>
        <w:gridCol w:w="9936"/>
      </w:tblGrid>
      <w:tr>
        <w:tc>
          <w:tcPr>
            <w:tcW w:type="dxa" w:w="9936"/>
            <w:shd w:fill="E8F5F2"/>
          </w:tcPr>
          <w:p>
            <w:pPr>
              <w:spacing w:after="40"/>
            </w:pPr>
            <w:r>
              <w:rPr>
                <w:b/>
                <w:color w:val="164A78"/>
                <w:sz w:val="20"/>
              </w:rPr>
              <w:t>Public-demo description</w:t>
              <w:br/>
            </w:r>
            <w:r>
              <w:rPr>
                <w:sz w:val="18"/>
              </w:rPr>
              <w:t>“This prototype presents physiological and movement-related readings through an interactive dashboard, using clear statistics, charts, and a 2D muscle map to make numerical information easier to interpret.”</w:t>
            </w:r>
          </w:p>
        </w:tc>
      </w:tr>
    </w:tbl>
    <w:p>
      <w:pPr>
        <w:spacing w:after="20"/>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Demonstration prototype • Illustrative values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7A8C"/>
        <w:sz w:val="16"/>
      </w:rPr>
      <w:t>BASIC PHYSIOTHERAPY DASHBOARD  |  PROTOTYPE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4A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A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638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Physiotherapy Dashboard Prototype Description</dc:title>
  <dc:subject>Confidentiality-safe visualisation-only prototype specification</dc:subject>
  <dc:creator>OpenAI</dc:creator>
  <cp:keywords>physiotherapy dashboard, muscle map, visualisation, prototype, demo mode, sliders, statistics</cp:keywords>
  <dc:description>generated by python-docx</dc:description>
  <cp:lastModifiedBy/>
  <cp:revision>1</cp:revision>
  <dcterms:created xsi:type="dcterms:W3CDTF">2013-12-23T23:15:00Z</dcterms:created>
  <dcterms:modified xsi:type="dcterms:W3CDTF">2013-12-23T23:15:00Z</dcterms:modified>
  <cp:category/>
</cp:coreProperties>
</file>