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00000001 运动想象脑电信号质量评估报告（模拟数据源）</w:t>
      </w:r>
    </w:p>
    <w:p>
      <w:pPr>
        <w:pStyle w:val="Subtitle"/>
      </w:pPr>
      <w:r>
        <w:t>信号质量、通用特征与任务响应评估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1512"/>
        <w:gridCol w:w="7848"/>
      </w:tblGrid>
      <w:tr>
        <w:trPr>
          <w:cantSplit/>
          <w:tblHeader/>
        </w:trPr>
        <w:tc>
          <w:tcPr>
            <w:tcW w:type="dxa" w:w="151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848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被试</w:t>
            </w:r>
          </w:p>
        </w:tc>
        <w:tc>
          <w:tcPr>
            <w:tcW w:type="dxa" w:w="784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00000001（模拟流程测试编号）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有效任务</w:t>
            </w:r>
          </w:p>
        </w:tc>
        <w:tc>
          <w:tcPr>
            <w:tcW w:type="dxa" w:w="784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运动想象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采集系统</w:t>
            </w:r>
          </w:p>
        </w:tc>
        <w:tc>
          <w:tcPr>
            <w:tcW w:type="dxa" w:w="784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模拟数据源；2 通道；250 Hz；单位 uV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分析电极</w:t>
            </w:r>
          </w:p>
        </w:tc>
        <w:tc>
          <w:tcPr>
            <w:tcW w:type="dxa" w:w="784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C3、C4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重参考</w:t>
            </w:r>
          </w:p>
        </w:tc>
        <w:tc>
          <w:tcPr>
            <w:tcW w:type="dxa" w:w="784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保留采集参考；synthetic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预处理</w:t>
            </w:r>
          </w:p>
        </w:tc>
        <w:tc>
          <w:tcPr>
            <w:tcW w:type="dxa" w:w="784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通用质量：原始数据 4 秒窗，不陷波；通用特征另用 1–40 Hz、250 Hz；任务按保存协议分析。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事件同步</w:t>
            </w:r>
          </w:p>
        </w:tc>
        <w:tc>
          <w:tcPr>
            <w:tcW w:type="dxa" w:w="784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样本索引近似对齐，未校准；软件对齐不等于已验证物理刺激时刻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分析日期</w:t>
            </w:r>
          </w:p>
        </w:tc>
        <w:tc>
          <w:tcPr>
            <w:tcW w:type="dxa" w:w="784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2026-10-29（北京时间）</w:t>
            </w:r>
          </w:p>
        </w:tc>
      </w:tr>
    </w:tbl>
    <w:p>
      <w:pPr>
        <w:widowControl w:val="0"/>
        <w:spacing w:after="40" w:before="0" w:line="40" w:lineRule="exact"/>
      </w:pPr>
    </w:p>
    <w:p>
      <w:r>
        <w:rPr>
          <w:b/>
        </w:rPr>
        <w:t>结果摘要：</w:t>
      </w:r>
      <w:r>
        <w:t>本次为模拟 / 回放数据，仅验证流程，不代表真实设备性能。已获得可计算的任务响应和固定算法结果。</w:t>
      </w:r>
    </w:p>
    <w:p>
      <w:pPr>
        <w:pStyle w:val="Heading1"/>
      </w:pPr>
      <w:r>
        <w:t>实验完成与数据可用性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1584"/>
        <w:gridCol w:w="1152"/>
        <w:gridCol w:w="1152"/>
        <w:gridCol w:w="2736"/>
        <w:gridCol w:w="2736"/>
      </w:tblGrid>
      <w:tr>
        <w:trPr>
          <w:cantSplit/>
          <w:tblHeader/>
        </w:trPr>
        <w:tc>
          <w:tcPr>
            <w:tcW w:type="dxa" w:w="158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条件</w:t>
            </w:r>
          </w:p>
        </w:tc>
        <w:tc>
          <w:tcPr>
            <w:tcW w:type="dxa" w:w="115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计划</w:t>
            </w:r>
          </w:p>
        </w:tc>
        <w:tc>
          <w:tcPr>
            <w:tcW w:type="dxa" w:w="115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完成</w:t>
            </w:r>
          </w:p>
        </w:tc>
        <w:tc>
          <w:tcPr>
            <w:tcW w:type="dxa" w:w="2736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可分析／观察</w:t>
            </w:r>
          </w:p>
        </w:tc>
        <w:tc>
          <w:tcPr>
            <w:tcW w:type="dxa" w:w="2736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筛查后／可分析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全部</w:t>
            </w:r>
          </w:p>
        </w:tc>
        <w:tc>
          <w:tcPr>
            <w:tcW w:type="dxa" w:w="11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11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273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9/9</w:t>
            </w:r>
          </w:p>
        </w:tc>
        <w:tc>
          <w:tcPr>
            <w:tcW w:type="dxa" w:w="273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9/9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左手</w:t>
            </w:r>
          </w:p>
        </w:tc>
        <w:tc>
          <w:tcPr>
            <w:tcW w:type="dxa" w:w="11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1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73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3/3</w:t>
            </w:r>
          </w:p>
        </w:tc>
        <w:tc>
          <w:tcPr>
            <w:tcW w:type="dxa" w:w="273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右手</w:t>
            </w:r>
          </w:p>
        </w:tc>
        <w:tc>
          <w:tcPr>
            <w:tcW w:type="dxa" w:w="11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1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73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3/3</w:t>
            </w:r>
          </w:p>
        </w:tc>
        <w:tc>
          <w:tcPr>
            <w:tcW w:type="dxa" w:w="273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静息</w:t>
            </w:r>
          </w:p>
        </w:tc>
        <w:tc>
          <w:tcPr>
            <w:tcW w:type="dxa" w:w="115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15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736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3/3</w:t>
            </w:r>
          </w:p>
        </w:tc>
        <w:tc>
          <w:tcPr>
            <w:tcW w:type="dxa" w:w="2736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3/3</w:t>
            </w:r>
          </w:p>
        </w:tc>
      </w:tr>
    </w:tbl>
    <w:p>
      <w:pPr>
        <w:widowControl w:val="0"/>
        <w:spacing w:after="40" w:before="0" w:line="40" w:lineRule="exact"/>
      </w:pPr>
    </w:p>
    <w:p>
      <w:r>
        <w:t>练习不计分；完成状态来自程序事件，不证明实际注视或想象。筛查后仅表示通过现有幅值规则。</w:t>
      </w:r>
    </w:p>
    <w:p>
      <w:pPr>
        <w:pStyle w:val="Heading2"/>
      </w:pPr>
      <w:r>
        <w:t>本次实验流程与参数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正式总试次</w:t>
            </w:r>
          </w:p>
        </w:tc>
        <w:tc>
          <w:tcPr>
            <w:tcW w:type="dxa" w:w="2340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每组最多</w:t>
            </w:r>
          </w:p>
        </w:tc>
        <w:tc>
          <w:tcPr>
            <w:tcW w:type="dxa" w:w="2340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计划组数</w:t>
            </w:r>
          </w:p>
        </w:tc>
        <w:tc>
          <w:tcPr>
            <w:tcW w:type="dxa" w:w="2340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练习总试次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2340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</w:tr>
    </w:tbl>
    <w:p>
      <w:pPr>
        <w:widowControl w:val="0"/>
        <w:spacing w:after="40" w:before="0" w:line="40" w:lineRule="exact"/>
      </w:pPr>
    </w:p>
    <w:p>
      <w:r>
        <w:t>说明与指导 → 练习 → 睁眼静息 20 秒 → 闭眼准备 3 秒 → 闭眼静息 5 秒 → 睁眼恢复 3 秒 → 正式分组。组间至少休息 5 秒，再按空格继续。条件按固定等量轮换；每次范式独立采集静息。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2448"/>
        <w:gridCol w:w="1728"/>
        <w:gridCol w:w="1728"/>
        <w:gridCol w:w="3456"/>
      </w:tblGrid>
      <w:tr>
        <w:trPr>
          <w:cantSplit/>
          <w:tblHeader/>
        </w:trPr>
        <w:tc>
          <w:tcPr>
            <w:tcW w:type="dxa" w:w="2448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单试次阶段</w:t>
            </w:r>
          </w:p>
        </w:tc>
        <w:tc>
          <w:tcPr>
            <w:tcW w:type="dxa" w:w="1728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计划 / 秒</w:t>
            </w:r>
          </w:p>
        </w:tc>
        <w:tc>
          <w:tcPr>
            <w:tcW w:type="dxa" w:w="1728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完整阶段数</w:t>
            </w:r>
          </w:p>
        </w:tc>
        <w:tc>
          <w:tcPr>
            <w:tcW w:type="dxa" w:w="3456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实测范围 / 秒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试次前基线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2.5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345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2.50–2.50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条件提示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1.5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345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1.50–1.50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想象／静息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345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6.00–6.00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试次内休息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3456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2.00–2.00</w:t>
            </w:r>
          </w:p>
        </w:tc>
      </w:tr>
    </w:tbl>
    <w:p>
      <w:pPr>
        <w:widowControl w:val="0"/>
        <w:spacing w:after="40" w:before="0" w:line="40" w:lineRule="exact"/>
      </w:pPr>
    </w:p>
    <w:p>
      <w:r>
        <w:t>实测范围来自事件对齐，包含显示调度误差，不等于已验证的物理刺激时长。等待时间另行记录；中止时未结束的阶段不列入范围。练习与静息不参与任务评分，独立静息用于信号质量观察。运动想象 ERD 仍使用各试次的提示前基线。</w:t>
      </w:r>
    </w:p>
    <w:p>
      <w:r>
        <w:t>阶段事件与完整时间明细见 phases.csv；实测时间不等于已验证的物理刺激时刻。</w:t>
      </w:r>
    </w:p>
    <w:p>
      <w:pPr>
        <w:pStyle w:val="Heading1"/>
      </w:pPr>
      <w:r>
        <w:t>信号质量与电极接触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4608"/>
        <w:gridCol w:w="4752"/>
      </w:tblGrid>
      <w:tr>
        <w:trPr>
          <w:cantSplit/>
          <w:tblHeader/>
        </w:trPr>
        <w:tc>
          <w:tcPr>
            <w:tcW w:type="dxa" w:w="4608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475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本次结果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记录时长／有效样本</w:t>
            </w:r>
          </w:p>
        </w:tc>
        <w:tc>
          <w:tcPr>
            <w:tcW w:type="dxa" w:w="47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229 秒／57251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样本序号间断／长时间戳间隔</w:t>
            </w:r>
          </w:p>
        </w:tc>
        <w:tc>
          <w:tcPr>
            <w:tcW w:type="dxa" w:w="475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0／0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显示估计丢帧／硬件发送错误</w:t>
            </w:r>
          </w:p>
        </w:tc>
        <w:tc>
          <w:tcPr>
            <w:tcW w:type="dxa" w:w="475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0／0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非有限样本通道数</w:t>
            </w:r>
          </w:p>
        </w:tc>
        <w:tc>
          <w:tcPr>
            <w:tcW w:type="dxa" w:w="475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RMS／峰峰值通道范围（μV）</w:t>
            </w:r>
          </w:p>
        </w:tc>
        <w:tc>
          <w:tcPr>
            <w:tcW w:type="dxa" w:w="475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7.33～7.33／29.6～29.8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平直窗／大幅值窗比例通道范围</w:t>
            </w:r>
          </w:p>
        </w:tc>
        <w:tc>
          <w:tcPr>
            <w:tcW w:type="dxa" w:w="47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0.0%～0.0%／0.0%～0.0%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工频比例通道范围</w:t>
            </w:r>
          </w:p>
        </w:tc>
        <w:tc>
          <w:tcPr>
            <w:tcW w:type="dxa" w:w="475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0.1%～0.1%</w:t>
            </w:r>
          </w:p>
        </w:tc>
      </w:tr>
    </w:tbl>
    <w:p>
      <w:pPr>
        <w:widowControl w:val="0"/>
        <w:spacing w:after="40" w:before="0" w:line="40" w:lineRule="exact"/>
      </w:pPr>
    </w:p>
    <w:p>
      <w:r>
        <w:t>幅值为通道内 4 秒窗统计的中位数；平直 &lt;0.1 μV、大幅值 &gt;300 μV 是工程候选阈值。范围不表示整段污染比例；时间间隔不等于已确认丢包，工频未确认时不计算。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1698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-wind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图 1　全程窗口质量分布</w:t>
      </w:r>
    </w:p>
    <w:p>
      <w:r>
        <w:rPr>
          <w:b/>
        </w:rPr>
        <w:t>图表解释：</w:t>
      </w:r>
      <w:r>
        <w:t>图中每格对应一个通道的质量窗口，与上表的全程筛查范围一致；蓝灰表示现有规则未标记，不能据此排除所有伪迹。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d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图 2　全程功率谱</w:t>
      </w:r>
    </w:p>
    <w:p>
      <w:r>
        <w:rPr>
          <w:b/>
        </w:rPr>
        <w:t>频谱解释：</w:t>
      </w:r>
      <w:r>
        <w:t>图为各通道有效窗口的平均功率谱，上表 RMS／峰峰值则是逐窗幅值的中位数，两者不是同一个统计量。此图包含记录中的练习与等待，仅用于观察全程频谱和干扰。</w:t>
      </w:r>
    </w:p>
    <w:p>
      <w:pPr>
        <w:pStyle w:val="Heading2"/>
      </w:pPr>
      <w:r>
        <w:t>静息与正式任务的分段质量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2304"/>
        <w:gridCol w:w="1440"/>
        <w:gridCol w:w="1584"/>
        <w:gridCol w:w="1728"/>
        <w:gridCol w:w="2304"/>
      </w:tblGrid>
      <w:tr>
        <w:trPr>
          <w:cantSplit/>
          <w:tblHeader/>
        </w:trPr>
        <w:tc>
          <w:tcPr>
            <w:tcW w:type="dxa" w:w="230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区段</w:t>
            </w:r>
          </w:p>
        </w:tc>
        <w:tc>
          <w:tcPr>
            <w:tcW w:type="dxa" w:w="1440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时长 / 秒</w:t>
            </w:r>
          </w:p>
        </w:tc>
        <w:tc>
          <w:tcPr>
            <w:tcW w:type="dxa" w:w="158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有效样本</w:t>
            </w:r>
          </w:p>
        </w:tc>
        <w:tc>
          <w:tcPr>
            <w:tcW w:type="dxa" w:w="1728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RMS / μV</w:t>
            </w:r>
          </w:p>
        </w:tc>
        <w:tc>
          <w:tcPr>
            <w:tcW w:type="dxa" w:w="230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大幅值窗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睁眼静息</w:t>
            </w:r>
          </w:p>
        </w:tc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</w:t>
            </w:r>
          </w:p>
        </w:tc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7.36</w:t>
            </w:r>
          </w:p>
        </w:tc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0.0%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闭眼静息</w:t>
            </w:r>
          </w:p>
        </w:tc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7.29</w:t>
            </w:r>
          </w:p>
        </w:tc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0.0%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正式第 1 组</w:t>
            </w:r>
          </w:p>
        </w:tc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36</w:t>
            </w:r>
          </w:p>
        </w:tc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7.31</w:t>
            </w:r>
          </w:p>
        </w:tc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0.0%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正式第 2 组</w:t>
            </w:r>
          </w:p>
        </w:tc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36</w:t>
            </w:r>
          </w:p>
        </w:tc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7.31</w:t>
            </w:r>
          </w:p>
        </w:tc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0.0%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正式第 3 组</w:t>
            </w:r>
          </w:p>
        </w:tc>
        <w:tc>
          <w:tcPr>
            <w:tcW w:type="dxa" w:w="1440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36</w:t>
            </w:r>
          </w:p>
        </w:tc>
        <w:tc>
          <w:tcPr>
            <w:tcW w:type="dxa" w:w="1584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7.37</w:t>
            </w:r>
          </w:p>
        </w:tc>
        <w:tc>
          <w:tcPr>
            <w:tcW w:type="dxa" w:w="2304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0.0%</w:t>
            </w:r>
          </w:p>
        </w:tc>
      </w:tr>
    </w:tbl>
    <w:p>
      <w:pPr>
        <w:widowControl w:val="0"/>
        <w:spacing w:after="40" w:before="0" w:line="40" w:lineRule="exact"/>
      </w:pPr>
    </w:p>
    <w:p>
      <w:r>
        <w:t>RMS 与大幅值窗比例为已确认微伏 EEG 通道指标的中位数，逐通道值见 segment_channels.csv；不拼接不连续区段。本表排除练习、指导与等待。而全程图表仍保留所有记录区段，仅作采集过程检查，不作静息质量或任务指标。</w:t>
      </w:r>
    </w:p>
    <w:p>
      <w:pPr>
        <w:pStyle w:val="Heading2"/>
      </w:pPr>
      <w:r>
        <w:t>阻抗与接触质量</w:t>
      </w:r>
    </w:p>
    <w:p>
      <w:r>
        <w:t>未获得本次实际阻抗或接触测量，暂不能评价电极接触。</w:t>
      </w:r>
    </w:p>
    <w:p>
      <w:pPr>
        <w:pStyle w:val="Heading2"/>
      </w:pPr>
      <w:r>
        <w:t>通用信号特征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1584"/>
        <w:gridCol w:w="1440"/>
        <w:gridCol w:w="1440"/>
        <w:gridCol w:w="2592"/>
        <w:gridCol w:w="2304"/>
      </w:tblGrid>
      <w:tr>
        <w:trPr>
          <w:cantSplit/>
          <w:tblHeader/>
        </w:trPr>
        <w:tc>
          <w:tcPr>
            <w:tcW w:type="dxa" w:w="158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区段</w:t>
            </w:r>
          </w:p>
        </w:tc>
        <w:tc>
          <w:tcPr>
            <w:tcW w:type="dxa" w:w="1440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谱熵</w:t>
            </w:r>
          </w:p>
        </w:tc>
        <w:tc>
          <w:tcPr>
            <w:tcW w:type="dxa" w:w="1440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样本熵</w:t>
            </w:r>
          </w:p>
        </w:tc>
        <w:tc>
          <w:tcPr>
            <w:tcW w:type="dxa" w:w="259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Hjorth mobility</w:t>
            </w:r>
          </w:p>
        </w:tc>
        <w:tc>
          <w:tcPr>
            <w:tcW w:type="dxa" w:w="230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谱斜率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睁眼静息</w:t>
            </w:r>
          </w:p>
        </w:tc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1.35</w:t>
            </w:r>
          </w:p>
        </w:tc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0.431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0.26</w:t>
            </w:r>
          </w:p>
        </w:tc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-0.381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闭眼静息</w:t>
            </w:r>
          </w:p>
        </w:tc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1.38</w:t>
            </w:r>
          </w:p>
        </w:tc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0.434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0.261</w:t>
            </w:r>
          </w:p>
        </w:tc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-0.49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正式实验</w:t>
            </w:r>
          </w:p>
        </w:tc>
        <w:tc>
          <w:tcPr>
            <w:tcW w:type="dxa" w:w="1440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1.34</w:t>
            </w:r>
          </w:p>
        </w:tc>
        <w:tc>
          <w:tcPr>
            <w:tcW w:type="dxa" w:w="1440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0.419</w:t>
            </w:r>
          </w:p>
        </w:tc>
        <w:tc>
          <w:tcPr>
            <w:tcW w:type="dxa" w:w="259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0.26</w:t>
            </w:r>
          </w:p>
        </w:tc>
        <w:tc>
          <w:tcPr>
            <w:tcW w:type="dxa" w:w="2304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-0.466</w:t>
            </w:r>
          </w:p>
        </w:tc>
      </w:tr>
    </w:tbl>
    <w:p>
      <w:pPr>
        <w:widowControl w:val="0"/>
        <w:spacing w:after="40" w:before="0" w:line="40" w:lineRule="exact"/>
      </w:pPr>
    </w:p>
    <w:p>
      <w:r>
        <w:t>入选通道窗数：睁眼静息 10；闭眼静息 2；正式实验 54。按通道分别计数，非独立被试样本量。</w:t>
      </w:r>
    </w:p>
    <w:p>
      <w:r>
        <w:t>分析电极的独立 4 秒窗经 1–40 Hz 滤波并重采样至 250 Hz，每区段每通道最多均匀选取 30 个合格窗；先取通道内中位数，再取跨通道中位数。正式区段含提示、任务及试次内休息；排除原因见 general_selection.csv。</w:t>
      </w:r>
    </w:p>
    <w:p>
      <w:r>
        <w:t>熵描述规则性，Hjorth 描述变化特征；谱斜率为含振荡峰的 2–40 Hz 拟合，不是分离后的非周期指数。均无“越高越好”的统一方向，不据此判定脑电有效或设备合格。扩展复杂度指标仅存明细。</w:t>
      </w:r>
    </w:p>
    <w:p>
      <w:pPr>
        <w:pStyle w:val="Heading2"/>
      </w:pPr>
      <w:r>
        <w:t>方法与数据追溯</w:t>
      </w:r>
    </w:p>
    <w:p>
      <w:r>
        <w:t>记录标识 61b4051d92884e66a96fcb5681215a14；分析版本 assessment-v1.3.0。</w:t>
      </w:r>
    </w:p>
    <w:p>
      <w:r>
        <w:t>通用特征参考 N-back 工具包的 mne-features／antropy 指标体系；滤波带宽、参考方式和分段对象不同，不直接与原 N-back 数值比较。实际参数与库版本见 assessment.json。</w:t>
      </w:r>
    </w:p>
    <w:p>
      <w:r>
        <w:t>同次分析目录提供 CSV：channels/windows（质量）、trials/trial_retention（试次与排除）、general_*（通用特征）、response_summary/trial_responses（响应）、classification（分类）；完整图像见 figures。</w:t>
      </w:r>
    </w:p>
    <w:p>
      <w:pPr>
        <w:pStyle w:val="Heading1"/>
      </w:pPr>
      <w:r>
        <w:t>运动想象任务响应</w:t>
      </w:r>
    </w:p>
    <w:p>
      <w:r>
        <w:t>试次准备后 0.2–2.3 秒为基线，想象后 0.5–5.5 秒为任务窗。</w:t>
      </w:r>
    </w:p>
    <w:p>
      <w:r>
        <w:t>ERD=100×(任务功率−试次准备基线功率)/基线功率；μ 8–13 Hz，β 13–30 Hz；负值为功率下降。独立静息不替代试次基线。</w:t>
      </w:r>
    </w:p>
    <w:p>
      <w:pPr>
        <w:pStyle w:val="Heading2"/>
        <w:keepNext/>
      </w:pPr>
      <w:r>
        <w:t>基线与任务功率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1584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158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条件／通道</w:t>
            </w:r>
          </w:p>
        </w:tc>
        <w:tc>
          <w:tcPr>
            <w:tcW w:type="dxa" w:w="259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μ 基线／任务功率</w:t>
            </w:r>
          </w:p>
        </w:tc>
        <w:tc>
          <w:tcPr>
            <w:tcW w:type="dxa" w:w="259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β 基线／任务功率</w:t>
            </w:r>
          </w:p>
        </w:tc>
        <w:tc>
          <w:tcPr>
            <w:tcW w:type="dxa" w:w="259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可分析／筛查后 n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左手 C3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50.1／50.2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0.539／0.628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3／3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左手 C4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50.3／4.43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0.553／0.0495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3／3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右手 C3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51.1／4.54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0.586／0.042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3／3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右手 C4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52.2／50.5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0.518／0.551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3／3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静息 C3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49.9／51.2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0.568／0.479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3／3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静息 C4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50.5／51.3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0.635／0.567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3／3</w:t>
            </w:r>
          </w:p>
        </w:tc>
      </w:tr>
    </w:tbl>
    <w:p>
      <w:pPr>
        <w:keepNext/>
        <w:widowControl w:val="0"/>
        <w:spacing w:after="40" w:before="0" w:line="40" w:lineRule="exact"/>
      </w:pPr>
    </w:p>
    <w:p>
      <w:pPr>
        <w:keepNext/>
      </w:pPr>
      <w:r>
        <w:t>功率单位 μV²；n 为对应条件／通道的有效试次数，β 和各扩展指标的具体 n 另存明细。此表用于核对 ERD 的基线分母。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-mi-ps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color w:val="666666"/>
          <w:sz w:val="18"/>
        </w:rPr>
        <w:t>图 3　MI 条件功率谱（虚线为各试次准备基线，实线为任务）</w:t>
      </w:r>
    </w:p>
    <w:p>
      <w:r>
        <w:rPr>
          <w:b/>
        </w:rPr>
        <w:t>功率解释：</w:t>
      </w:r>
      <w:r>
        <w:t>表用完整基线／任务分析窗计算频带积分功率均值；图用同批试次的 1 秒 Welch 分段谱（50% 重叠），虚线为基线、实线为任务。单位及谱估计窗长不同，图用于观察频谱形状，不能直接从曲线重建表中数值。</w:t>
      </w:r>
    </w:p>
    <w:p>
      <w:pPr>
        <w:pStyle w:val="Heading2"/>
        <w:keepNext/>
      </w:pPr>
      <w:r>
        <w:t>μ／β 去同步及时间变化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1584"/>
        <w:gridCol w:w="2664"/>
        <w:gridCol w:w="2664"/>
        <w:gridCol w:w="2448"/>
      </w:tblGrid>
      <w:tr>
        <w:trPr>
          <w:cantSplit/>
          <w:tblHeader/>
        </w:trPr>
        <w:tc>
          <w:tcPr>
            <w:tcW w:type="dxa" w:w="158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条件／通道</w:t>
            </w:r>
          </w:p>
        </w:tc>
        <w:tc>
          <w:tcPr>
            <w:tcW w:type="dxa" w:w="266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μ ERD % [95%区间]</w:t>
            </w:r>
          </w:p>
        </w:tc>
        <w:tc>
          <w:tcPr>
            <w:tcW w:type="dxa" w:w="266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β ERD % [95%区间]</w:t>
            </w:r>
          </w:p>
        </w:tc>
        <w:tc>
          <w:tcPr>
            <w:tcW w:type="dxa" w:w="2448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筛查后 μ／β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左手 C3</w:t>
            </w:r>
          </w:p>
        </w:tc>
        <w:tc>
          <w:tcPr>
            <w:tcW w:type="dxa" w:w="266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0.142 [-4.78, 3.2]</w:t>
            </w:r>
          </w:p>
        </w:tc>
        <w:tc>
          <w:tcPr>
            <w:tcW w:type="dxa" w:w="266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16.9 [-4.84, 31]</w:t>
            </w:r>
          </w:p>
        </w:tc>
        <w:tc>
          <w:tcPr>
            <w:tcW w:type="dxa" w:w="244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0.142／16.9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左手 C4</w:t>
            </w:r>
          </w:p>
        </w:tc>
        <w:tc>
          <w:tcPr>
            <w:tcW w:type="dxa" w:w="266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-91.2 [-91.6, -90.4]</w:t>
            </w:r>
          </w:p>
        </w:tc>
        <w:tc>
          <w:tcPr>
            <w:tcW w:type="dxa" w:w="266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-91 [-92.4, -89.3]</w:t>
            </w:r>
          </w:p>
        </w:tc>
        <w:tc>
          <w:tcPr>
            <w:tcW w:type="dxa" w:w="244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-91.2／-91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右手 C3</w:t>
            </w:r>
          </w:p>
        </w:tc>
        <w:tc>
          <w:tcPr>
            <w:tcW w:type="dxa" w:w="266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-91.1 [-91.6, -90.5]</w:t>
            </w:r>
          </w:p>
        </w:tc>
        <w:tc>
          <w:tcPr>
            <w:tcW w:type="dxa" w:w="266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-92.9 [-94, -92.3]</w:t>
            </w:r>
          </w:p>
        </w:tc>
        <w:tc>
          <w:tcPr>
            <w:tcW w:type="dxa" w:w="244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-91.1／-92.9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右手 C4</w:t>
            </w:r>
          </w:p>
        </w:tc>
        <w:tc>
          <w:tcPr>
            <w:tcW w:type="dxa" w:w="266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-3.11 [-7.68, 2.15]</w:t>
            </w:r>
          </w:p>
        </w:tc>
        <w:tc>
          <w:tcPr>
            <w:tcW w:type="dxa" w:w="266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6.44 [-3.25, 19.2]</w:t>
            </w:r>
          </w:p>
        </w:tc>
        <w:tc>
          <w:tcPr>
            <w:tcW w:type="dxa" w:w="244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-3.11／6.44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静息 C3</w:t>
            </w:r>
          </w:p>
        </w:tc>
        <w:tc>
          <w:tcPr>
            <w:tcW w:type="dxa" w:w="266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2.76 [-0.959, 7.34]</w:t>
            </w:r>
          </w:p>
        </w:tc>
        <w:tc>
          <w:tcPr>
            <w:tcW w:type="dxa" w:w="266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-11.8 [-39.7, 9.57]</w:t>
            </w:r>
          </w:p>
        </w:tc>
        <w:tc>
          <w:tcPr>
            <w:tcW w:type="dxa" w:w="244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2.76／-11.8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静息 C4</w:t>
            </w:r>
          </w:p>
        </w:tc>
        <w:tc>
          <w:tcPr>
            <w:tcW w:type="dxa" w:w="266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1.59 [-4.41, 4.68]</w:t>
            </w:r>
          </w:p>
        </w:tc>
        <w:tc>
          <w:tcPr>
            <w:tcW w:type="dxa" w:w="266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-8.54 [-21.6, 13]</w:t>
            </w:r>
          </w:p>
        </w:tc>
        <w:tc>
          <w:tcPr>
            <w:tcW w:type="dxa" w:w="244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1.59／-8.54</w:t>
            </w:r>
          </w:p>
        </w:tc>
      </w:tr>
    </w:tbl>
    <w:p>
      <w:pPr>
        <w:keepNext/>
        <w:widowControl w:val="0"/>
        <w:spacing w:after="40" w:before="0" w:line="40" w:lineRule="exact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756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-e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color w:val="666666"/>
          <w:sz w:val="18"/>
        </w:rPr>
        <w:t>图 4　运动想象 ERD 时间曲线（负值为功率下降）</w:t>
      </w:r>
    </w:p>
    <w:p>
      <w:pPr>
        <w:keepNext/>
      </w:pPr>
      <w:r>
        <w:rPr>
          <w:b/>
        </w:rPr>
        <w:t>时程解释：</w:t>
      </w:r>
      <w:r>
        <w:t>表为完整任务分析窗的逐试次 ERD 均值，曲线为想象期间各滑动时间窗的 ERD 均值；上下排分别对应可分析与筛查后试次，阴影为各时间点的 95% 自助法区间。不同时间窗的曲线点不应与整窗表格逐值比较。</w:t>
      </w:r>
    </w:p>
    <w:p>
      <w:r>
        <w:t>负值表示相对本试次准备基线功率下降，正值表示上升；需同时观察左右手、C3／C4 和静息条件。单次未出现预期下降不能独立归因于设备。</w:t>
      </w:r>
    </w:p>
    <w:p>
      <w:pPr>
        <w:pStyle w:val="Heading2"/>
      </w:pPr>
      <w:r>
        <w:t>响应的时频分布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50945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-mi-tf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图 5　MI 时频响应（蓝为功率下降；显示完整窗中心，不推断精确起始潜伏期）</w:t>
      </w:r>
    </w:p>
    <w:p>
      <w:r>
        <w:rPr>
          <w:b/>
        </w:rPr>
        <w:t>时频解释：</w:t>
      </w:r>
      <w:r>
        <w:t>图显示可分析试次在各频率、各时窗相对自身准备基线的功率变化，单位为 dB；与上节 ERD（%）共享试次基线，但频率分辨率、时间窗和数值尺度不同。蓝色表示下降；色阶固定 ±10 dB，超出范围仍按端点颜色显示。</w:t>
      </w:r>
    </w:p>
    <w:p>
      <w:pPr>
        <w:pStyle w:val="Heading2"/>
        <w:keepNext/>
      </w:pPr>
      <w:r>
        <w:t>左右侧化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1440"/>
        <w:gridCol w:w="2736"/>
        <w:gridCol w:w="2592"/>
        <w:gridCol w:w="2592"/>
      </w:tblGrid>
      <w:tr>
        <w:trPr>
          <w:cantSplit/>
          <w:tblHeader/>
        </w:trPr>
        <w:tc>
          <w:tcPr>
            <w:tcW w:type="dxa" w:w="1440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条件</w:t>
            </w:r>
          </w:p>
        </w:tc>
        <w:tc>
          <w:tcPr>
            <w:tcW w:type="dxa" w:w="2736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μ C3−C4（dB）</w:t>
            </w:r>
          </w:p>
        </w:tc>
        <w:tc>
          <w:tcPr>
            <w:tcW w:type="dxa" w:w="259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μ 对侧−同侧（dB）</w:t>
            </w:r>
          </w:p>
        </w:tc>
        <w:tc>
          <w:tcPr>
            <w:tcW w:type="dxa" w:w="259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β 对侧−同侧（dB）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左手</w:t>
            </w:r>
          </w:p>
        </w:tc>
        <w:tc>
          <w:tcPr>
            <w:tcW w:type="dxa" w:w="273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10.6 [10.3, 10.8]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-10.6 [-10.8, -10.3]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-11.1 [-12.4, -10.3]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右手</w:t>
            </w:r>
          </w:p>
        </w:tc>
        <w:tc>
          <w:tcPr>
            <w:tcW w:type="dxa" w:w="273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-10.4 [-10.9, -9.89]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-10.4 [-10.9, -9.89]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-11.8 [-13, -11]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静息</w:t>
            </w:r>
          </w:p>
        </w:tc>
        <w:tc>
          <w:tcPr>
            <w:tcW w:type="dxa" w:w="273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0.051 [-0.233, 0.277]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不可用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不可用</w:t>
            </w:r>
          </w:p>
        </w:tc>
      </w:tr>
    </w:tbl>
    <w:p>
      <w:pPr>
        <w:keepNext/>
        <w:widowControl w:val="0"/>
        <w:spacing w:after="40" w:before="0" w:line="40" w:lineRule="exact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-mi-later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color w:val="666666"/>
          <w:sz w:val="18"/>
        </w:rPr>
        <w:t>图 6　MI 侧化分布（±0.6 dB 为现有判别规则，非设备合格线）</w:t>
      </w:r>
    </w:p>
    <w:p>
      <w:pPr>
        <w:keepNext/>
      </w:pPr>
      <w:r>
        <w:rPr>
          <w:b/>
        </w:rPr>
        <w:t>侧化对应：</w:t>
      </w:r>
      <w:r>
        <w:t>图为单试次 μ 功率变化的 C3−C4 差，表中第二列为这些点的均值及 95% 区间。对侧−同侧列使用另一符号约定：左手为 C4−C3，右手为 C3−C4；因此左手条件两列符号相反，右手相同。静息不定义对侧。</w:t>
      </w:r>
    </w:p>
    <w:p>
      <w:r>
        <w:t>对侧−同侧为负时表示对侧相对抑制较强；图中圆点表示幅值筛查保留，叉号表示标记。±0.6 dB 是固定分类规则，不是设备合格线。</w:t>
      </w:r>
    </w:p>
    <w:p>
      <w:pPr>
        <w:pStyle w:val="Heading2"/>
      </w:pPr>
      <w:r>
        <w:t>休息早期的 β 恢复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3024"/>
        <w:gridCol w:w="720"/>
        <w:gridCol w:w="5616"/>
      </w:tblGrid>
      <w:tr>
        <w:trPr>
          <w:cantSplit/>
          <w:tblHeader/>
        </w:trPr>
        <w:tc>
          <w:tcPr>
            <w:tcW w:type="dxa" w:w="302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恢复期条件／通道</w:t>
            </w:r>
          </w:p>
        </w:tc>
        <w:tc>
          <w:tcPr>
            <w:tcW w:type="dxa" w:w="720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n</w:t>
            </w:r>
          </w:p>
        </w:tc>
        <w:tc>
          <w:tcPr>
            <w:tcW w:type="dxa" w:w="5616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β 变化 % [95%区间]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左手 C3</w:t>
            </w:r>
          </w:p>
        </w:tc>
        <w:tc>
          <w:tcPr>
            <w:tcW w:type="dxa" w:w="72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561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-0.244 [-36.2, 30.3]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左手 C4</w:t>
            </w:r>
          </w:p>
        </w:tc>
        <w:tc>
          <w:tcPr>
            <w:tcW w:type="dxa" w:w="72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561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-18.6 [-35.2, -1.56]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右手 C3</w:t>
            </w:r>
          </w:p>
        </w:tc>
        <w:tc>
          <w:tcPr>
            <w:tcW w:type="dxa" w:w="72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561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6.28 [-6.35, 20.2]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右手 C4</w:t>
            </w:r>
          </w:p>
        </w:tc>
        <w:tc>
          <w:tcPr>
            <w:tcW w:type="dxa" w:w="72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561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19.9 [-11.8, 52]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静息 C3</w:t>
            </w:r>
          </w:p>
        </w:tc>
        <w:tc>
          <w:tcPr>
            <w:tcW w:type="dxa" w:w="72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561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25.3 [1.75, 60.8]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静息 C4</w:t>
            </w:r>
          </w:p>
        </w:tc>
        <w:tc>
          <w:tcPr>
            <w:tcW w:type="dxa" w:w="720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5616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-0.673 [-24.1, 40.8]</w:t>
            </w:r>
          </w:p>
        </w:tc>
      </w:tr>
    </w:tbl>
    <w:p>
      <w:pPr>
        <w:widowControl w:val="0"/>
        <w:spacing w:after="40" w:before="0" w:line="40" w:lineRule="exact"/>
      </w:pPr>
    </w:p>
    <w:p>
      <w:r>
        <w:t>恢复窗为休息开始后 0.5–1.5 秒，相对同一试次准备基线。仅描述早期恢复，不保证覆盖 β 反弹峰值；未见反弹不等于设备差。</w:t>
      </w:r>
    </w:p>
    <w:p>
      <w:r>
        <w:t>响应区间为试次自助法描述，不足 3 次不估计；同一被试内试次可能相关。筛查前后比较用于观察异常试次的影响。</w:t>
      </w:r>
    </w:p>
    <w:p>
      <w:pPr>
        <w:pStyle w:val="Heading2"/>
      </w:pPr>
      <w:r>
        <w:t>分组响应稳定性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-block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图 7　分组响应均值（各组样本量及离散度见 block_response.csv，不等于重测信度）</w:t>
      </w:r>
    </w:p>
    <w:p>
      <w:r>
        <w:t>观察响应随实验分组的变化；图中为可分析试次均值，各组 n、离散度与区间见 block_response.csv，不代表跨会话重测信度。</w:t>
      </w:r>
    </w:p>
    <w:p>
      <w:pPr>
        <w:pStyle w:val="Heading1"/>
        <w:keepNext/>
      </w:pPr>
      <w:r>
        <w:t>固定算法与综合结论</w:t>
      </w:r>
    </w:p>
    <w:p>
      <w:pPr>
        <w:keepNext/>
      </w:pPr>
      <w:r>
        <w:t>固定 μ 频带 C3−C4 功率变化 dB 差 &gt;0.6 判左手、&lt;−0.6 判右手，其余未判定；静息不计入二分类，名义随机水平 50%。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1584"/>
        <w:gridCol w:w="576"/>
        <w:gridCol w:w="3312"/>
        <w:gridCol w:w="2016"/>
        <w:gridCol w:w="1872"/>
      </w:tblGrid>
      <w:tr>
        <w:trPr>
          <w:cantSplit/>
          <w:tblHeader/>
        </w:trPr>
        <w:tc>
          <w:tcPr>
            <w:tcW w:type="dxa" w:w="158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范围</w:t>
            </w:r>
          </w:p>
        </w:tc>
        <w:tc>
          <w:tcPr>
            <w:tcW w:type="dxa" w:w="576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n</w:t>
            </w:r>
          </w:p>
        </w:tc>
        <w:tc>
          <w:tcPr>
            <w:tcW w:type="dxa" w:w="331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准确率 [95%区间]</w:t>
            </w:r>
          </w:p>
        </w:tc>
        <w:tc>
          <w:tcPr>
            <w:tcW w:type="dxa" w:w="2016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平衡准确率</w:t>
            </w:r>
          </w:p>
        </w:tc>
        <w:tc>
          <w:tcPr>
            <w:tcW w:type="dxa" w:w="187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判定覆盖率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全部已观察</w:t>
            </w:r>
          </w:p>
        </w:tc>
        <w:tc>
          <w:tcPr>
            <w:tcW w:type="dxa" w:w="57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31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 [61.0%～100.0%]</w:t>
            </w:r>
          </w:p>
        </w:tc>
        <w:tc>
          <w:tcPr>
            <w:tcW w:type="dxa" w:w="201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87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可分析</w:t>
            </w:r>
          </w:p>
        </w:tc>
        <w:tc>
          <w:tcPr>
            <w:tcW w:type="dxa" w:w="57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31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 [61.0%～100.0%]</w:t>
            </w:r>
          </w:p>
        </w:tc>
        <w:tc>
          <w:tcPr>
            <w:tcW w:type="dxa" w:w="201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87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幅值筛查后</w:t>
            </w:r>
          </w:p>
        </w:tc>
        <w:tc>
          <w:tcPr>
            <w:tcW w:type="dxa" w:w="57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31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 [61.0%～100.0%]</w:t>
            </w:r>
          </w:p>
        </w:tc>
        <w:tc>
          <w:tcPr>
            <w:tcW w:type="dxa" w:w="201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87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</w:tr>
    </w:tbl>
    <w:p>
      <w:pPr>
        <w:keepNext/>
        <w:widowControl w:val="0"/>
        <w:spacing w:after="40" w:before="0" w:line="40" w:lineRule="exact"/>
      </w:pPr>
    </w:p>
    <w:p>
      <w:pPr>
        <w:keepNext/>
      </w:pPr>
      <w:r>
        <w:t>全部已观察计分试次中，数据不可分析 0 次，模型不确定 0 次。</w:t>
      </w:r>
    </w:p>
    <w:p>
      <w:pPr>
        <w:keepNext/>
      </w:pPr>
      <w:r>
        <w:t>未判定在总体准确率中按未正确处理；未观察到的计划试次不纳入分类分母。分类只作任务信息可分性的辅助证据，不等于行为正确率或设备总体质量。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7660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-confu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66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color w:val="666666"/>
          <w:sz w:val="18"/>
        </w:rPr>
        <w:t>图 8　固定算法混淆矩阵（未观察到的计划试次不进入矩阵）</w:t>
      </w:r>
    </w:p>
    <w:p>
      <w:r>
        <w:rPr>
          <w:b/>
        </w:rPr>
        <w:t>分类对应：</w:t>
      </w:r>
      <w:r>
        <w:t>矩阵对应上表“全部已观察”一行，不对应筛查后子集。每格同时标出试次数和该真实条件内的比例；“模型不确定”和“数据不可分析”均计入分母。</w:t>
      </w:r>
    </w:p>
    <w:p>
      <w:pPr>
        <w:pStyle w:val="Heading2"/>
      </w:pPr>
      <w:r>
        <w:t>最终综合结论</w:t>
      </w:r>
    </w:p>
    <w:p>
      <w:r>
        <w:rPr>
          <w:b/>
        </w:rPr>
        <w:t>信号质量：</w:t>
      </w:r>
      <w:r>
        <w:t>仅验证流程，不能据模拟信号评价设备。</w:t>
      </w:r>
    </w:p>
    <w:p>
      <w:r>
        <w:rPr>
          <w:b/>
        </w:rPr>
        <w:t>任务响应：</w:t>
      </w:r>
      <w:r>
        <w:t>响应可作本次描述，需结合电极位置、任务执行和同步证据解释。</w:t>
      </w:r>
    </w:p>
    <w:p>
      <w:r>
        <w:rPr>
          <w:b/>
        </w:rPr>
        <w:t>电极接触：</w:t>
      </w:r>
      <w:r>
        <w:t>缺少实际接触测量，不能评价。</w:t>
      </w:r>
    </w:p>
    <w:p>
      <w:r>
        <w:rPr>
          <w:b/>
        </w:rPr>
        <w:t>建议：</w:t>
      </w:r>
      <w:r>
        <w:t>优先核对异常窗口、排除原因、参考方式和同步依据，再按相同条件复测；单次结果不能支持跨设备排名、能力判断或医疗诊断。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10" w:footer="7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t>研究用途 · 非医疗诊断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7"/>
      </w:rPr>
      <w:t>EEG TASK ANALYSIS  |  NeuroScope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  <w:snapToGrid w:val="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/>
      <w:b/>
      <w:color w:val="2E74B5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/>
      <w:b/>
      <w:color w:val="2E74B5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/>
      <w:b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pPr>
      <w:spacing w:before="0" w:after="160"/>
    </w:pPr>
    <w:name w:val="Title"/>
    <w:basedOn w:val="Normal"/>
    <w:next w:val="Normal"/>
    <w:link w:val="TitleChar"/>
    <w:uiPriority w:val="10"/>
    <w:qFormat/>
    <w:rsid w:val="00FC693F"/>
    <w:rPr>
      <w:rFonts w:ascii="Microsoft YaHei" w:hAnsi="Microsoft YaHei" w:eastAsia="Microsoft YaHei"/>
      <w:b/>
      <w:color w:val="17365D"/>
      <w:sz w:val="5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pPr>
      <w:spacing w:after="160"/>
    </w:pPr>
    <w:name w:val="Subtitle"/>
    <w:basedOn w:val="Normal"/>
    <w:next w:val="Normal"/>
    <w:link w:val="SubtitleChar"/>
    <w:uiPriority w:val="11"/>
    <w:qFormat/>
    <w:rsid w:val="00FC693F"/>
    <w:rPr>
      <w:rFonts w:ascii="Microsoft YaHei" w:hAnsi="Microsoft YaHei" w:eastAsia="Microsoft YaHei"/>
      <w:color w:val="1F4D78"/>
      <w:sz w:val="29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00000001 运动想象脑电信号质量评估报告（模拟数据源）</dc:title>
  <dc:subject/>
  <dc:creator>NeuroScope</dc:creator>
  <cp:keywords/>
  <dc:description/>
  <cp:lastModifiedBy>NeuroScope</cp:lastModifiedBy>
  <cp:revision>1</cp:revision>
  <dcterms:created xsi:type="dcterms:W3CDTF">2013-12-23T23:15:00Z</dcterms:created>
  <dcterms:modified xsi:type="dcterms:W3CDTF">2013-12-23T23:15:00Z</dcterms:modified>
  <cp:category/>
</cp:coreProperties>
</file>