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Jistota v nájemním vztahu</w:t>
      </w:r>
    </w:p>
    <w:p>
      <w:r>
        <w:t>FIKTIVNÍ TESTOVACÍ DOKUMENT | TEST-CZ-03 | TEST-KLIENT-04</w:t>
      </w:r>
    </w:p>
    <w:p>
      <w:r>
        <w:t>Autor a příjemce: TEST DATA. Datum vyhotovení: 15. 04. 2035. Účastník: TEST-OSOBA-03-A. Všechny identifikátory a částky slouží pouze k testu; dokument nelze použít k právnímu jednání.</w:t>
      </w:r>
    </w:p>
    <w:p>
      <w:pPr>
        <w:pStyle w:val="Heading1"/>
      </w:pPr>
      <w:r>
        <w:t>Skutkový model</w:t>
      </w:r>
    </w:p>
    <w:p>
      <w:r>
        <w:t>Fiktivní nájemce TEST-OSOBA-03-A složil jistotu v částce uvedené v přiložené účetní tabulce. Tabulka zachycuje pouze modelové pohyby. Strany dosud neurčily použitelnou úrokovou sazbu, počátek úročení ani oprávněnost případných srážek. Datum dokumentu neslouží jako potvrzení platby nebo skončení nájmu.</w:t>
      </w:r>
    </w:p>
    <w:p>
      <w:pPr>
        <w:pStyle w:val="Heading1"/>
      </w:pPr>
      <w:r>
        <w:t>Úkol a hranice závěru</w:t>
      </w:r>
    </w:p>
    <w:p>
      <w:r>
        <w:t>Sečtěte pohyby v CSV a oddělte čisté saldo od úroků. Úrok bez doplnění sazby a období nevyčíslujte jako ověřený nárok. Připravte seznam údajů potřebných k vypořádání. Před odesláním výzvy musí člověk ověřit podklad platby, právní titul a konečný výpočet.</w:t>
      </w:r>
    </w:p>
    <w:p>
      <w:r>
        <w:t>Modelová jistina pro práci s čísly činí 178754 testovacích jednotek. Jde o vymyšlený údaj, nikoli o ocenění nebo pohledávku skutečné osoby. Tabulka ledger.csv obsahuje další nezávislé modelové pohyby.</w:t>
      </w:r>
    </w:p>
    <w:p>
      <w:pPr>
        <w:pStyle w:val="Heading1"/>
      </w:pPr>
      <w:r>
        <w:t>Další kroky</w:t>
      </w:r>
    </w:p>
    <w:p>
      <w:r>
        <w:t>Priorita: doplnit chybějící důkazy před použitím výsledku. Termín: pouze po individuálním potvrzení člověkem.</w:t>
      </w:r>
    </w:p>
    <w:p>
      <w:pPr>
        <w:pStyle w:val="Heading1"/>
      </w:pPr>
      <w:r>
        <w:t>Otevřené otázky</w:t>
      </w:r>
    </w:p>
    <w:p>
      <w:r>
        <w:t>Chybí ověření pravosti, úplnosti a rozhodného okamžiku. Sada neobsahuje souhlas s cloudovým zpracováním, podpisem, podáním nebo odesláním.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Garamond" w:hAnsi="Garamon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Garamond" w:hAnsi="Garamond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Garamond" w:hAnsi="Garamond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Jistota v nájemním vztahu</dc:title>
  <dc:subject>Fictional workflow fixture</dc:subject>
  <dc:creator>TEST DATA</dc:creator>
  <cp:keywords>TEST DATA</cp:keywords>
  <dc:description>New fictional fixture</dc:description>
  <cp:lastModifiedBy>TEST DATA</cp:lastModifiedBy>
  <cp:revision>1</cp:revision>
  <dcterms:created xsi:type="dcterms:W3CDTF">2035-04-15T12:00:00Z</dcterms:created>
  <dcterms:modified xsi:type="dcterms:W3CDTF">2035-04-15T12:00:00Z</dcterms:modified>
  <cp:category/>
</cp:coreProperties>
</file>