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Climate Controls</w:t>
      </w:r>
    </w:p>
    <w:p>
      <w:pPr>
        <w:pStyle w:val="Heading1"/>
      </w:pPr>
      <w:r>
        <w:t>Reference — Radcliffe Camera visitor routing</w:t>
      </w:r>
    </w:p>
    <w:p>
      <w:pPr>
        <w:pStyle w:val="Heading1"/>
      </w:pPr>
      <w:r>
        <w:t>Archive note — Bodleian conservation handling</w:t>
      </w:r>
    </w:p>
    <w:p>
      <w:pPr>
        <w:pStyle w:val="Heading1"/>
      </w:pPr>
      <w:r>
        <w:t>Handling Baselines</w:t>
      </w:r>
    </w:p>
    <w:p>
      <w:pPr>
        <w:pStyle w:val="Heading1"/>
      </w:pPr>
      <w:r>
        <w:t>Reference — Broad Street exhibition delivery</w:t>
      </w:r>
    </w:p>
    <w:p>
      <w:pPr>
        <w:pStyle w:val="Heading1"/>
      </w:pPr>
      <w:r>
        <w:t>Archive note — Weston Library reading-room note</w:t>
      </w:r>
    </w:p>
    <w:p>
      <w:pPr>
        <w:pStyle w:val="Heading1"/>
      </w:pPr>
      <w:r>
        <w:t>Light Exposure</w:t>
      </w:r>
    </w:p>
    <w:p>
      <w:pPr>
        <w:pStyle w:val="Heading1"/>
      </w:pPr>
      <w:r>
        <w:t>Reference — Sheldonian event access</w:t>
      </w:r>
    </w:p>
    <w:p>
      <w:pPr>
        <w:pStyle w:val="Heading1"/>
      </w:pPr>
      <w:r>
        <w:t>Archive note — Oxford term-time logistics</w:t>
      </w:r>
    </w:p>
    <w:p>
      <w:pPr>
        <w:pStyle w:val="Heading1"/>
      </w:pPr>
      <w:r>
        <w:t>Display Case Keys</w:t>
      </w:r>
    </w:p>
    <w:p>
      <w:pPr>
        <w:pStyle w:val="Heading1"/>
      </w:pPr>
      <w:r>
        <w:t>Reference — Radcliffe Camera visitor routing</w:t>
      </w:r>
    </w:p>
    <w:p>
      <w:pPr>
        <w:pStyle w:val="Heading1"/>
      </w:pPr>
      <w:r>
        <w:t>Archive note — Bodleian conservation handling</w:t>
      </w:r>
    </w:p>
    <w:p>
      <w:pPr>
        <w:pStyle w:val="Heading1"/>
      </w:pPr>
      <w:r>
        <w:t>Transport Crates</w:t>
      </w:r>
    </w:p>
    <w:p>
      <w:pPr>
        <w:pStyle w:val="Heading1"/>
      </w:pPr>
      <w:r>
        <w:t>Reference — Broad Street exhibition delivery</w:t>
      </w:r>
    </w:p>
    <w:p>
      <w:pPr>
        <w:pStyle w:val="Heading1"/>
      </w:pPr>
      <w:r>
        <w:t>Archive note — Weston Library reading-room note</w:t>
      </w:r>
    </w:p>
    <w:p>
      <w:pPr>
        <w:pStyle w:val="Heading1"/>
      </w:pPr>
      <w:r>
        <w:t>Book Cradle Use</w:t>
      </w:r>
    </w:p>
    <w:p>
      <w:pPr>
        <w:pStyle w:val="Heading1"/>
      </w:pPr>
      <w:r>
        <w:t>Reference — Sheldonian event access</w:t>
      </w:r>
    </w:p>
    <w:p>
      <w:pPr>
        <w:pStyle w:val="Heading1"/>
      </w:pPr>
      <w:r>
        <w:t>Archive note — Oxford term-time logistics</w:t>
      </w:r>
    </w:p>
    <w:p>
      <w:pPr>
        <w:pStyle w:val="Heading1"/>
      </w:pPr>
      <w:r>
        <w:t>Reading Room Movement</w:t>
      </w:r>
    </w:p>
    <w:p>
      <w:pPr>
        <w:pStyle w:val="Heading1"/>
      </w:pPr>
      <w:r>
        <w:t>Reference — Radcliffe Camera visitor routing</w:t>
      </w:r>
    </w:p>
    <w:p>
      <w:pPr>
        <w:pStyle w:val="Heading1"/>
      </w:pPr>
      <w:r>
        <w:t>Archive note — Bodleian conservation handling</w:t>
      </w:r>
    </w:p>
    <w:p>
      <w:pPr>
        <w:pStyle w:val="Heading1"/>
      </w:pPr>
      <w:r>
        <w:t>Pest Monitoring</w:t>
      </w:r>
    </w:p>
    <w:p>
      <w:pPr>
        <w:pStyle w:val="Heading1"/>
      </w:pPr>
      <w:r>
        <w:t>Reference — Broad Street exhibition delivery</w:t>
      </w:r>
    </w:p>
    <w:p>
      <w:pPr>
        <w:pStyle w:val="Heading1"/>
      </w:pPr>
      <w:r>
        <w:t>Archive note — Weston Library reading-room note</w:t>
      </w:r>
    </w:p>
    <w:p>
      <w:pPr>
        <w:pStyle w:val="Heading1"/>
      </w:pPr>
      <w:r>
        <w:t>Bodleian Exhibition Notes</w:t>
      </w:r>
    </w:p>
    <w:p>
      <w:pPr>
        <w:pStyle w:val="Heading1"/>
      </w:pPr>
      <w:r>
        <w:t>Reference — Sheldonian event access</w:t>
      </w:r>
    </w:p>
    <w:p>
      <w:pPr>
        <w:pStyle w:val="Heading1"/>
      </w:pPr>
      <w:r>
        <w:t>Archive note — Oxford term-time logistics</w:t>
      </w:r>
    </w:p>
    <w:p>
      <w:pPr>
        <w:pStyle w:val="Heading1"/>
      </w:pPr>
      <w:r>
        <w:t>Front-of-House Exclusions</w:t>
      </w:r>
    </w:p>
    <w:p>
      <w:pPr>
        <w:pStyle w:val="Heading1"/>
      </w:pPr>
      <w:r>
        <w:t>Reference — Radcliffe Camera visitor routing</w:t>
      </w:r>
    </w:p>
    <w:p>
      <w:pPr>
        <w:pStyle w:val="Heading1"/>
      </w:pPr>
      <w:r>
        <w:t>Archive note — Bodleian conservation handling</w:t>
      </w:r>
    </w:p>
    <w:p>
      <w:pPr>
        <w:pStyle w:val="Heading1"/>
      </w:pPr>
      <w:r>
        <w:t>Archive Revision Log</w:t>
      </w:r>
    </w:p>
    <w:p>
      <w:pPr>
        <w:pStyle w:val="Heading1"/>
      </w:pPr>
      <w:r>
        <w:t>Reference — Broad Street exhibition delivery</w:t>
      </w:r>
    </w:p>
    <w:p>
      <w:pPr>
        <w:pStyle w:val="Heading1"/>
      </w:pPr>
      <w:r>
        <w:t>Archive note — Weston Library reading-room note</w:t>
      </w:r>
    </w:p>
    <w:p>
      <w:pPr>
        <w:pStyle w:val="Heading1"/>
      </w:pPr>
      <w:r>
        <w:t>Conservator Sign-off</w:t>
      </w:r>
    </w:p>
    <w:p>
      <w:pPr>
        <w:pStyle w:val="Heading1"/>
      </w:pPr>
      <w:r>
        <w:t>Reference — Sheldonian event access</w:t>
      </w:r>
    </w:p>
    <w:p>
      <w:pPr>
        <w:pStyle w:val="Heading1"/>
      </w:pPr>
      <w:r>
        <w:t>Archive note — Oxford term-time logistics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