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Customs Protocols</w:t>
      </w:r>
    </w:p>
    <w:p>
      <w:pPr>
        <w:pStyle w:val="Heading1"/>
      </w:pPr>
      <w:r>
        <w:t>Reference — Southampton Western Docks gate</w:t>
      </w:r>
    </w:p>
    <w:p>
      <w:pPr>
        <w:pStyle w:val="Heading1"/>
      </w:pPr>
      <w:r>
        <w:t>Archive note — Eastleigh depot handover</w:t>
      </w:r>
    </w:p>
    <w:p>
      <w:pPr>
        <w:pStyle w:val="Heading1"/>
      </w:pPr>
      <w:r>
        <w:t>Border_Inspection_Steps</w:t>
      </w:r>
    </w:p>
    <w:p>
      <w:pPr>
        <w:pStyle w:val="Heading1"/>
      </w:pPr>
      <w:r>
        <w:t>Reference — Redbridge freight queue</w:t>
      </w:r>
    </w:p>
    <w:p>
      <w:pPr>
        <w:pStyle w:val="Heading1"/>
      </w:pPr>
      <w:r>
        <w:t>Archive note — Solent reefer inspection</w:t>
      </w:r>
    </w:p>
    <w:p>
      <w:pPr>
        <w:pStyle w:val="Heading1"/>
      </w:pPr>
      <w:r>
        <w:t>Reefer_Cargo_Handling</w:t>
      </w:r>
    </w:p>
    <w:p>
      <w:pPr>
        <w:pStyle w:val="Heading1"/>
      </w:pPr>
      <w:r>
        <w:t>Reference — M271 terminal approach</w:t>
      </w:r>
    </w:p>
    <w:p>
      <w:pPr>
        <w:pStyle w:val="Heading1"/>
      </w:pPr>
      <w:r>
        <w:t>Archive note — Dock Gate 20 security check</w:t>
      </w:r>
    </w:p>
    <w:p>
      <w:pPr>
        <w:pStyle w:val="Heading1"/>
      </w:pPr>
      <w:r>
        <w:t>Driver_ETA_Updates</w:t>
      </w:r>
    </w:p>
    <w:p>
      <w:pPr>
        <w:pStyle w:val="Heading1"/>
      </w:pPr>
      <w:r>
        <w:t>Reference — Southampton Western Docks gate</w:t>
      </w:r>
    </w:p>
    <w:p>
      <w:pPr>
        <w:pStyle w:val="Heading1"/>
      </w:pPr>
      <w:r>
        <w:t>Archive note — Eastleigh depot handover</w:t>
      </w:r>
    </w:p>
    <w:p>
      <w:pPr>
        <w:pStyle w:val="Heading1"/>
      </w:pPr>
      <w:r>
        <w:t>Terminal_Availability</w:t>
      </w:r>
    </w:p>
    <w:p>
      <w:pPr>
        <w:pStyle w:val="Heading1"/>
      </w:pPr>
      <w:r>
        <w:t>Reference — Redbridge freight queue</w:t>
      </w:r>
    </w:p>
    <w:p>
      <w:pPr>
        <w:pStyle w:val="Heading1"/>
      </w:pPr>
      <w:r>
        <w:t>Archive note — Solent reefer inspection</w:t>
      </w:r>
    </w:p>
    <w:p>
      <w:pPr>
        <w:pStyle w:val="Heading1"/>
      </w:pPr>
      <w:r>
        <w:t>HMRC_Notes</w:t>
      </w:r>
    </w:p>
    <w:p>
      <w:pPr>
        <w:pStyle w:val="Heading1"/>
      </w:pPr>
      <w:r>
        <w:t>Reference — M271 terminal approach</w:t>
      </w:r>
    </w:p>
    <w:p>
      <w:pPr>
        <w:pStyle w:val="Heading1"/>
      </w:pPr>
      <w:r>
        <w:t>Archive note — Dock Gate 20 security check</w:t>
      </w:r>
    </w:p>
    <w:p>
      <w:pPr>
        <w:pStyle w:val="Heading1"/>
      </w:pPr>
      <w:r>
        <w:t>Seal_Photo_Procedure</w:t>
      </w:r>
    </w:p>
    <w:p>
      <w:pPr>
        <w:pStyle w:val="Heading1"/>
      </w:pPr>
      <w:r>
        <w:t>Reference — Southampton Western Docks gate</w:t>
      </w:r>
    </w:p>
    <w:p>
      <w:pPr>
        <w:pStyle w:val="Heading1"/>
      </w:pPr>
      <w:r>
        <w:t>Archive note — Eastleigh depot handover</w:t>
      </w:r>
    </w:p>
    <w:p>
      <w:pPr>
        <w:pStyle w:val="Heading1"/>
      </w:pPr>
      <w:r>
        <w:t>Dry_Goods_Clearance</w:t>
      </w:r>
    </w:p>
    <w:p>
      <w:pPr>
        <w:pStyle w:val="Heading1"/>
      </w:pPr>
      <w:r>
        <w:t>Reference — Redbridge freight queue</w:t>
      </w:r>
    </w:p>
    <w:p>
      <w:pPr>
        <w:pStyle w:val="Heading1"/>
      </w:pPr>
      <w:r>
        <w:t>Archive note — Solent reefer inspection</w:t>
      </w:r>
    </w:p>
    <w:p>
      <w:pPr>
        <w:pStyle w:val="Heading1"/>
      </w:pPr>
      <w:r>
        <w:t>Frozen_Perishables</w:t>
      </w:r>
    </w:p>
    <w:p>
      <w:pPr>
        <w:pStyle w:val="Heading1"/>
      </w:pPr>
      <w:r>
        <w:t>Reference — M271 terminal approach</w:t>
      </w:r>
    </w:p>
    <w:p>
      <w:pPr>
        <w:pStyle w:val="Heading1"/>
      </w:pPr>
      <w:r>
        <w:t>Archive note — Dock Gate 20 security check</w:t>
      </w:r>
    </w:p>
    <w:p>
      <w:pPr>
        <w:pStyle w:val="Heading1"/>
      </w:pPr>
      <w:r>
        <w:t>Hazmat_Exclusions</w:t>
      </w:r>
    </w:p>
    <w:p>
      <w:pPr>
        <w:pStyle w:val="Heading1"/>
      </w:pPr>
      <w:r>
        <w:t>Reference — Southampton Western Docks gate</w:t>
      </w:r>
    </w:p>
    <w:p>
      <w:pPr>
        <w:pStyle w:val="Heading1"/>
      </w:pPr>
      <w:r>
        <w:t>Archive note — Eastleigh depot handover</w:t>
      </w:r>
    </w:p>
    <w:p>
      <w:pPr>
        <w:pStyle w:val="Heading1"/>
      </w:pPr>
      <w:r>
        <w:t>Uniform_Admin_Exclusions</w:t>
      </w:r>
    </w:p>
    <w:p>
      <w:pPr>
        <w:pStyle w:val="Heading1"/>
      </w:pPr>
      <w:r>
        <w:t>Reference — Redbridge freight queue</w:t>
      </w:r>
    </w:p>
    <w:p>
      <w:pPr>
        <w:pStyle w:val="Heading1"/>
      </w:pPr>
      <w:r>
        <w:t>Archive note — Solent reefer inspection</w:t>
      </w:r>
    </w:p>
    <w:p>
      <w:pPr>
        <w:pStyle w:val="Heading1"/>
      </w:pPr>
      <w:r>
        <w:t>Southampton_Port_Gate</w:t>
      </w:r>
    </w:p>
    <w:p>
      <w:pPr>
        <w:pStyle w:val="Heading1"/>
      </w:pPr>
      <w:r>
        <w:t>Reference — M271 terminal approach</w:t>
      </w:r>
    </w:p>
    <w:p>
      <w:pPr>
        <w:pStyle w:val="Heading1"/>
      </w:pPr>
      <w:r>
        <w:t>Archive note — Dock Gate 20 security check</w:t>
      </w:r>
    </w:p>
    <w:p>
      <w:pPr>
        <w:pStyle w:val="Heading1"/>
      </w:pPr>
      <w:r>
        <w:t>Temperature_Records</w:t>
      </w:r>
    </w:p>
    <w:p>
      <w:pPr>
        <w:pStyle w:val="Heading1"/>
      </w:pPr>
      <w:r>
        <w:t>Reference — Southampton Western Docks gate</w:t>
      </w:r>
    </w:p>
    <w:p>
      <w:pPr>
        <w:pStyle w:val="Heading1"/>
      </w:pPr>
      <w:r>
        <w:t>Archive note — Eastleigh depot handover</w:t>
      </w:r>
    </w:p>
    <w:p>
      <w:pPr>
        <w:pStyle w:val="Heading1"/>
      </w:pPr>
      <w:r>
        <w:t>Workflow_Sign_Off</w:t>
      </w:r>
    </w:p>
    <w:p>
      <w:pPr>
        <w:pStyle w:val="Heading1"/>
      </w:pPr>
      <w:r>
        <w:t>Reference — Redbridge freight queue</w:t>
      </w:r>
    </w:p>
    <w:p>
      <w:pPr>
        <w:pStyle w:val="Heading1"/>
      </w:pPr>
      <w:r>
        <w:t>Archive note — Solent reefer inspection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