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Flagged Equipment</w:t>
      </w:r>
    </w:p>
    <w:p>
      <w:pPr>
        <w:pStyle w:val="Heading1"/>
      </w:pPr>
      <w:r>
        <w:t>Service Priority</w:t>
      </w:r>
    </w:p>
    <w:p>
      <w:pPr>
        <w:pStyle w:val="Heading1"/>
      </w:pPr>
      <w:r>
        <w:t>Tennessee Department of Health Notes</w:t>
      </w:r>
    </w:p>
    <w:p>
      <w:pPr>
        <w:pStyle w:val="Heading1"/>
      </w:pPr>
      <w:r>
        <w:t>FDA Maintenance Records</w:t>
      </w:r>
    </w:p>
    <w:p>
      <w:pPr>
        <w:pStyle w:val="Heading1"/>
      </w:pPr>
      <w:r>
        <w:t>Imaging Unit Log</w:t>
      </w:r>
    </w:p>
    <w:p>
      <w:pPr>
        <w:pStyle w:val="Heading1"/>
      </w:pPr>
      <w:r>
        <w:t>Surgical Robotics Notes</w:t>
      </w:r>
    </w:p>
    <w:p>
      <w:pPr>
        <w:pStyle w:val="Heading1"/>
      </w:pPr>
      <w:r>
        <w:t>Hospital Hub Coordination</w:t>
      </w:r>
    </w:p>
    <w:p>
      <w:pPr>
        <w:pStyle w:val="Heading1"/>
      </w:pPr>
      <w:r>
        <w:t>Serial Number</w:t>
      </w:r>
    </w:p>
    <w:p>
      <w:pPr>
        <w:pStyle w:val="Heading1"/>
      </w:pPr>
      <w:r>
        <w:t>Urgent_Service Status</w:t>
      </w:r>
    </w:p>
    <w:p>
      <w:pPr>
        <w:pStyle w:val="Heading1"/>
      </w:pPr>
      <w:r>
        <w:t>Biomedical Scheduling</w:t>
      </w:r>
    </w:p>
    <w:p>
      <w:pPr>
        <w:pStyle w:val="Heading1"/>
      </w:pPr>
      <w:r>
        <w:t>Operating Room Coordination</w:t>
      </w:r>
    </w:p>
    <w:p>
      <w:pPr>
        <w:pStyle w:val="Heading1"/>
      </w:pPr>
      <w:r>
        <w:t>Diagnostic Imaging</w:t>
      </w:r>
    </w:p>
    <w:p>
      <w:pPr>
        <w:pStyle w:val="Heading1"/>
      </w:pPr>
      <w:r>
        <w:t>Calibration Verification</w:t>
      </w:r>
    </w:p>
    <w:p>
      <w:pPr>
        <w:pStyle w:val="Heading1"/>
      </w:pPr>
      <w:r>
        <w:t>Preventive Maintenance</w:t>
      </w:r>
    </w:p>
    <w:p>
      <w:pPr>
        <w:pStyle w:val="Heading1"/>
      </w:pPr>
      <w:r>
        <w:t>Parts and Suppliers</w:t>
      </w:r>
    </w:p>
    <w:p>
      <w:pPr>
        <w:pStyle w:val="Heading1"/>
      </w:pPr>
      <w:r>
        <w:t>Tennessee Registry</w:t>
      </w:r>
    </w:p>
    <w:p>
      <w:pPr>
        <w:pStyle w:val="Heading1"/>
      </w:pPr>
      <w:r>
        <w:t>FDA Traceability</w:t>
      </w:r>
    </w:p>
    <w:p>
      <w:pPr>
        <w:pStyle w:val="Heading1"/>
      </w:pPr>
      <w:r>
        <w:t>Return-to-Service Validation</w:t>
      </w:r>
    </w:p>
    <w:p>
      <w:pPr>
        <w:pStyle w:val="Heading1"/>
      </w:pPr>
      <w:r>
        <w:t>Manager Sign-off</w:t>
      </w:r>
    </w:p>
    <w:p>
      <w:pPr>
        <w:pStyle w:val="Heading1"/>
      </w:pPr>
      <w:r>
        <w:t>Service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