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Handling Protocols</w:t>
      </w:r>
    </w:p>
    <w:p>
      <w:pPr>
        <w:pStyle w:val="Heading1"/>
      </w:pPr>
      <w:r>
        <w:t>Display Restrictions</w:t>
      </w:r>
    </w:p>
    <w:p>
      <w:pPr>
        <w:pStyle w:val="Heading1"/>
      </w:pPr>
      <w:r>
        <w:t>Provenance Review</w:t>
      </w:r>
    </w:p>
    <w:p>
      <w:pPr>
        <w:pStyle w:val="Heading1"/>
      </w:pPr>
      <w:r>
        <w:t>Cultural Liaison Notes</w:t>
      </w:r>
    </w:p>
    <w:p>
      <w:pPr>
        <w:pStyle w:val="Heading1"/>
      </w:pPr>
      <w:r>
        <w:t>Lighting Controls</w:t>
      </w:r>
    </w:p>
    <w:p>
      <w:pPr>
        <w:pStyle w:val="Heading1"/>
      </w:pPr>
      <w:r>
        <w:t>Winter Solstice Procedures</w:t>
      </w:r>
    </w:p>
    <w:p>
      <w:pPr>
        <w:pStyle w:val="Heading1"/>
      </w:pPr>
      <w:r>
        <w:t>Canyon Road Exhibition Rules</w:t>
      </w:r>
    </w:p>
    <w:p>
      <w:pPr>
        <w:pStyle w:val="Heading1"/>
      </w:pPr>
      <w:r>
        <w:t>Export Review</w:t>
      </w:r>
    </w:p>
    <w:p>
      <w:pPr>
        <w:pStyle w:val="Heading1"/>
      </w:pPr>
      <w:r>
        <w:t>Sovereign Council Clause</w:t>
      </w:r>
    </w:p>
    <w:p>
      <w:pPr>
        <w:pStyle w:val="Heading1"/>
      </w:pPr>
      <w:r>
        <w:t>Lighting Management</w:t>
      </w:r>
    </w:p>
    <w:p>
      <w:pPr>
        <w:pStyle w:val="Heading1"/>
      </w:pPr>
      <w:r>
        <w:t>Handling Restrictions</w:t>
      </w:r>
    </w:p>
    <w:p>
      <w:pPr>
        <w:pStyle w:val="Heading1"/>
      </w:pPr>
      <w:r>
        <w:t>Cultural Calendar</w:t>
      </w:r>
    </w:p>
    <w:p>
      <w:pPr>
        <w:pStyle w:val="Heading1"/>
      </w:pPr>
      <w:r>
        <w:t>Cultural Liaison Sign-off</w:t>
      </w:r>
    </w:p>
    <w:p>
      <w:pPr>
        <w:pStyle w:val="Heading1"/>
      </w:pPr>
      <w:r>
        <w:t>Provenance Documentation</w:t>
      </w:r>
    </w:p>
    <w:p>
      <w:pPr>
        <w:pStyle w:val="Heading1"/>
      </w:pPr>
      <w:r>
        <w:t>Sensitive Photography</w:t>
      </w:r>
    </w:p>
    <w:p>
      <w:pPr>
        <w:pStyle w:val="Heading1"/>
      </w:pPr>
      <w:r>
        <w:t>Condition Reports</w:t>
      </w:r>
    </w:p>
    <w:p>
      <w:pPr>
        <w:pStyle w:val="Heading1"/>
      </w:pPr>
      <w:r>
        <w:t>Textile Mounting</w:t>
      </w:r>
    </w:p>
    <w:p>
      <w:pPr>
        <w:pStyle w:val="Heading1"/>
      </w:pPr>
      <w:r>
        <w:t>Ceramic Support</w:t>
      </w:r>
    </w:p>
    <w:p>
      <w:pPr>
        <w:pStyle w:val="Heading1"/>
      </w:pPr>
      <w:r>
        <w:t>Label Review</w:t>
      </w:r>
    </w:p>
    <w:p>
      <w:pPr>
        <w:pStyle w:val="Heading1"/>
      </w:pPr>
      <w:r>
        <w:t>Loan Procedure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