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Ingredient Sourcing</w:t>
      </w:r>
    </w:p>
    <w:p>
      <w:pPr>
        <w:pStyle w:val="Heading1"/>
      </w:pPr>
      <w:r>
        <w:t>Rennet Supplier Certification</w:t>
      </w:r>
    </w:p>
    <w:p>
      <w:pPr>
        <w:pStyle w:val="Heading1"/>
      </w:pPr>
      <w:r>
        <w:t>Culture Handling</w:t>
      </w:r>
    </w:p>
    <w:p>
      <w:pPr>
        <w:pStyle w:val="Heading1"/>
      </w:pPr>
      <w:r>
        <w:t>Aged Cheddar Production</w:t>
      </w:r>
    </w:p>
    <w:p>
      <w:pPr>
        <w:pStyle w:val="Heading1"/>
      </w:pPr>
      <w:r>
        <w:t>Specialty Blue Production</w:t>
      </w:r>
    </w:p>
    <w:p>
      <w:pPr>
        <w:pStyle w:val="Heading1"/>
      </w:pPr>
      <w:r>
        <w:t>Export Documentation</w:t>
      </w:r>
    </w:p>
    <w:p>
      <w:pPr>
        <w:pStyle w:val="Heading1"/>
      </w:pPr>
      <w:r>
        <w:t>Food Safety Review</w:t>
      </w:r>
    </w:p>
    <w:p>
      <w:pPr>
        <w:pStyle w:val="Heading1"/>
      </w:pPr>
      <w:r>
        <w:t>Driftless Area Producer Notes</w:t>
      </w:r>
    </w:p>
    <w:p>
      <w:pPr>
        <w:pStyle w:val="Heading1"/>
      </w:pPr>
      <w:r>
        <w:t>ISO-22000 Certification</w:t>
      </w:r>
    </w:p>
    <w:p>
      <w:pPr>
        <w:pStyle w:val="Heading1"/>
      </w:pPr>
      <w:r>
        <w:t>Rennet Supplier</w:t>
      </w:r>
    </w:p>
    <w:p>
      <w:pPr>
        <w:pStyle w:val="Heading1"/>
      </w:pPr>
      <w:r>
        <w:t>DATCP Oversight</w:t>
      </w:r>
    </w:p>
    <w:p>
      <w:pPr>
        <w:pStyle w:val="Heading1"/>
      </w:pPr>
      <w:r>
        <w:t>Culture Traceability</w:t>
      </w:r>
    </w:p>
    <w:p>
      <w:pPr>
        <w:pStyle w:val="Heading1"/>
      </w:pPr>
      <w:r>
        <w:t>Brine Management</w:t>
      </w:r>
    </w:p>
    <w:p>
      <w:pPr>
        <w:pStyle w:val="Heading1"/>
      </w:pPr>
      <w:r>
        <w:t>pH Calibration</w:t>
      </w:r>
    </w:p>
    <w:p>
      <w:pPr>
        <w:pStyle w:val="Heading1"/>
      </w:pPr>
      <w:r>
        <w:t>Allergen Cleaning</w:t>
      </w:r>
    </w:p>
    <w:p>
      <w:pPr>
        <w:pStyle w:val="Heading1"/>
      </w:pPr>
      <w:r>
        <w:t>Incoming Milk Control</w:t>
      </w:r>
    </w:p>
    <w:p>
      <w:pPr>
        <w:pStyle w:val="Heading1"/>
      </w:pPr>
      <w:r>
        <w:t>Aging Room</w:t>
      </w:r>
    </w:p>
    <w:p>
      <w:pPr>
        <w:pStyle w:val="Heading1"/>
      </w:pPr>
      <w:r>
        <w:t>Wisconsin Export</w:t>
      </w:r>
    </w:p>
    <w:p>
      <w:pPr>
        <w:pStyle w:val="Heading1"/>
      </w:pPr>
      <w:r>
        <w:t>Pallet Seals</w:t>
      </w:r>
    </w:p>
    <w:p>
      <w:pPr>
        <w:pStyle w:val="Heading1"/>
      </w:pPr>
      <w:r>
        <w:t>Corrective 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