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Infrastructure Materials</w:t>
      </w:r>
    </w:p>
    <w:p>
      <w:pPr>
        <w:pStyle w:val="Heading1"/>
      </w:pPr>
      <w:r>
        <w:t>Riverfront Drainage</w:t>
      </w:r>
    </w:p>
    <w:p>
      <w:pPr>
        <w:pStyle w:val="Heading1"/>
      </w:pPr>
      <w:r>
        <w:t>Walkway Standards</w:t>
      </w:r>
    </w:p>
    <w:p>
      <w:pPr>
        <w:pStyle w:val="Heading1"/>
      </w:pPr>
      <w:r>
        <w:t>Flood Mitigation Notes</w:t>
      </w:r>
    </w:p>
    <w:p>
      <w:pPr>
        <w:pStyle w:val="Heading1"/>
      </w:pPr>
      <w:r>
        <w:t>Community Safety</w:t>
      </w:r>
    </w:p>
    <w:p>
      <w:pPr>
        <w:pStyle w:val="Heading1"/>
      </w:pPr>
      <w:r>
        <w:t>Green-Space Requirements</w:t>
      </w:r>
    </w:p>
    <w:p>
      <w:pPr>
        <w:pStyle w:val="Heading1"/>
      </w:pPr>
      <w:r>
        <w:t>Maintenance Access</w:t>
      </w:r>
    </w:p>
    <w:p>
      <w:pPr>
        <w:pStyle w:val="Heading1"/>
      </w:pPr>
      <w:r>
        <w:t>FEMA Coordination</w:t>
      </w:r>
    </w:p>
    <w:p>
      <w:pPr>
        <w:pStyle w:val="Heading1"/>
      </w:pPr>
      <w:r>
        <w:t>Permeable Paving Ratio</w:t>
      </w:r>
    </w:p>
    <w:p>
      <w:pPr>
        <w:pStyle w:val="Heading1"/>
      </w:pPr>
      <w:r>
        <w:t>Bioswale Connections</w:t>
      </w:r>
    </w:p>
    <w:p>
      <w:pPr>
        <w:pStyle w:val="Heading1"/>
      </w:pPr>
      <w:r>
        <w:t>Mississippi River Flood Context</w:t>
      </w:r>
    </w:p>
    <w:p>
      <w:pPr>
        <w:pStyle w:val="Heading1"/>
      </w:pPr>
      <w:r>
        <w:t>North Riverfront Phasing</w:t>
      </w:r>
    </w:p>
    <w:p>
      <w:pPr>
        <w:pStyle w:val="Heading1"/>
      </w:pPr>
      <w:r>
        <w:t>MSD Design Review</w:t>
      </w:r>
    </w:p>
    <w:p>
      <w:pPr>
        <w:pStyle w:val="Heading1"/>
      </w:pPr>
      <w:r>
        <w:t>FEMA Floodplain Coordination</w:t>
      </w:r>
    </w:p>
    <w:p>
      <w:pPr>
        <w:pStyle w:val="Heading1"/>
      </w:pPr>
      <w:r>
        <w:t>Tree Trench Storage</w:t>
      </w:r>
    </w:p>
    <w:p>
      <w:pPr>
        <w:pStyle w:val="Heading1"/>
      </w:pPr>
      <w:r>
        <w:t>Emergency Access Surfaces</w:t>
      </w:r>
    </w:p>
    <w:p>
      <w:pPr>
        <w:pStyle w:val="Heading1"/>
      </w:pPr>
      <w:r>
        <w:t>Public Realm Materials</w:t>
      </w:r>
    </w:p>
    <w:p>
      <w:pPr>
        <w:pStyle w:val="Heading1"/>
      </w:pPr>
      <w:r>
        <w:t>Long-Term Maintenance</w:t>
      </w:r>
    </w:p>
    <w:p>
      <w:pPr>
        <w:pStyle w:val="Heading1"/>
      </w:pPr>
      <w:r>
        <w:t>Inspection Frequency</w:t>
      </w:r>
    </w:p>
    <w:p>
      <w:pPr>
        <w:pStyle w:val="Heading1"/>
      </w:pPr>
      <w:r>
        <w:t>Implementation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