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Compliance Deadlines</w:t>
      </w:r>
    </w:p>
    <w:p>
      <w:pPr>
        <w:pStyle w:val="Heading1"/>
      </w:pPr>
      <w:r>
        <w:t>Grant Overview</w:t>
      </w:r>
    </w:p>
    <w:p>
      <w:pPr>
        <w:pStyle w:val="Heading1"/>
      </w:pPr>
      <w:r>
        <w:t>Genealogical Records</w:t>
      </w:r>
    </w:p>
    <w:p>
      <w:pPr>
        <w:pStyle w:val="Heading1"/>
      </w:pPr>
      <w:r>
        <w:t>Scanning Progress</w:t>
      </w:r>
    </w:p>
    <w:p>
      <w:pPr>
        <w:pStyle w:val="Heading1"/>
      </w:pPr>
      <w:r>
        <w:t>Metadata Standards</w:t>
      </w:r>
    </w:p>
    <w:p>
      <w:pPr>
        <w:pStyle w:val="Heading1"/>
      </w:pPr>
      <w:r>
        <w:t>Public Access Plan</w:t>
      </w:r>
    </w:p>
    <w:p>
      <w:pPr>
        <w:pStyle w:val="Heading1"/>
      </w:pPr>
      <w:r>
        <w:t>Library of Virginia Notes</w:t>
      </w:r>
    </w:p>
    <w:p>
      <w:pPr>
        <w:pStyle w:val="Heading1"/>
      </w:pPr>
      <w:r>
        <w:t>Risk Register</w:t>
      </w:r>
    </w:p>
    <w:p>
      <w:pPr>
        <w:pStyle w:val="Heading1"/>
      </w:pPr>
      <w:r>
        <w:t>Federal Reporting Date</w:t>
      </w:r>
    </w:p>
    <w:p>
      <w:pPr>
        <w:pStyle w:val="Heading1"/>
      </w:pPr>
      <w:r>
        <w:t>Heritage Digitization Fund</w:t>
      </w:r>
    </w:p>
    <w:p>
      <w:pPr>
        <w:pStyle w:val="Heading1"/>
      </w:pPr>
      <w:r>
        <w:t>Current Award Period</w:t>
      </w:r>
    </w:p>
    <w:p>
      <w:pPr>
        <w:pStyle w:val="Heading1"/>
      </w:pPr>
      <w:r>
        <w:t>Genealogical Digitization Scope</w:t>
      </w:r>
    </w:p>
    <w:p>
      <w:pPr>
        <w:pStyle w:val="Heading1"/>
      </w:pPr>
      <w:r>
        <w:t>Civil War-Era Holdings</w:t>
      </w:r>
    </w:p>
    <w:p>
      <w:pPr>
        <w:pStyle w:val="Heading1"/>
      </w:pPr>
      <w:r>
        <w:t>Authority Control</w:t>
      </w:r>
    </w:p>
    <w:p>
      <w:pPr>
        <w:pStyle w:val="Heading1"/>
      </w:pPr>
      <w:r>
        <w:t>High-Resolution Imaging</w:t>
      </w:r>
    </w:p>
    <w:p>
      <w:pPr>
        <w:pStyle w:val="Heading1"/>
      </w:pPr>
      <w:r>
        <w:t>Fragile Materials</w:t>
      </w:r>
    </w:p>
    <w:p>
      <w:pPr>
        <w:pStyle w:val="Heading1"/>
      </w:pPr>
      <w:r>
        <w:t>Grant Deliverables</w:t>
      </w:r>
    </w:p>
    <w:p>
      <w:pPr>
        <w:pStyle w:val="Heading1"/>
      </w:pPr>
      <w:r>
        <w:t>Budget Status</w:t>
      </w:r>
    </w:p>
    <w:p>
      <w:pPr>
        <w:pStyle w:val="Heading1"/>
      </w:pPr>
      <w:r>
        <w:t>Public Release Milestones</w:t>
      </w:r>
    </w:p>
    <w:p>
      <w:pPr>
        <w:pStyle w:val="Heading1"/>
      </w:pPr>
      <w:r>
        <w:t>Executive Signoff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