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Teaching Strategies</w:t>
      </w:r>
    </w:p>
    <w:p>
      <w:pPr>
        <w:pStyle w:val="Heading1"/>
      </w:pPr>
      <w:r>
        <w:t>Science Vocabulary</w:t>
      </w:r>
    </w:p>
    <w:p>
      <w:pPr>
        <w:pStyle w:val="Heading1"/>
      </w:pPr>
      <w:r>
        <w:t>Dual-Immersion Supports</w:t>
      </w:r>
    </w:p>
    <w:p>
      <w:pPr>
        <w:pStyle w:val="Heading1"/>
      </w:pPr>
      <w:r>
        <w:t>Family Communication</w:t>
      </w:r>
    </w:p>
    <w:p>
      <w:pPr>
        <w:pStyle w:val="Heading1"/>
      </w:pPr>
      <w:r>
        <w:t>Assessment Notes</w:t>
      </w:r>
    </w:p>
    <w:p>
      <w:pPr>
        <w:pStyle w:val="Heading1"/>
      </w:pPr>
      <w:r>
        <w:t>Language Bridging</w:t>
      </w:r>
    </w:p>
    <w:p>
      <w:pPr>
        <w:pStyle w:val="Heading1"/>
      </w:pPr>
      <w:r>
        <w:t>Materials</w:t>
      </w:r>
    </w:p>
    <w:p>
      <w:pPr>
        <w:pStyle w:val="Heading1"/>
      </w:pPr>
      <w:r>
        <w:t>Weekly Reflection</w:t>
      </w:r>
    </w:p>
    <w:p>
      <w:pPr>
        <w:pStyle w:val="Heading1"/>
      </w:pPr>
      <w:r>
        <w:t>Cognate Mapping Strategy</w:t>
      </w:r>
    </w:p>
    <w:p>
      <w:pPr>
        <w:pStyle w:val="Heading1"/>
      </w:pPr>
      <w:r>
        <w:t>Spanish-English Cognates</w:t>
      </w:r>
    </w:p>
    <w:p>
      <w:pPr>
        <w:pStyle w:val="Heading1"/>
      </w:pPr>
      <w:r>
        <w:t>Somali Language Bridging</w:t>
      </w:r>
    </w:p>
    <w:p>
      <w:pPr>
        <w:pStyle w:val="Heading1"/>
      </w:pPr>
      <w:r>
        <w:t>Visual Supports</w:t>
      </w:r>
    </w:p>
    <w:p>
      <w:pPr>
        <w:pStyle w:val="Heading1"/>
      </w:pPr>
      <w:r>
        <w:t>Oral Rehearsal</w:t>
      </w:r>
    </w:p>
    <w:p>
      <w:pPr>
        <w:pStyle w:val="Heading1"/>
      </w:pPr>
      <w:r>
        <w:t>Concept Mapping</w:t>
      </w:r>
    </w:p>
    <w:p>
      <w:pPr>
        <w:pStyle w:val="Heading1"/>
      </w:pPr>
      <w:r>
        <w:t>Science Unit Application</w:t>
      </w:r>
    </w:p>
    <w:p>
      <w:pPr>
        <w:pStyle w:val="Heading1"/>
      </w:pPr>
      <w:r>
        <w:t>Benchmark Integrity</w:t>
      </w:r>
    </w:p>
    <w:p>
      <w:pPr>
        <w:pStyle w:val="Heading1"/>
      </w:pPr>
      <w:r>
        <w:t>Family Language Access</w:t>
      </w:r>
    </w:p>
    <w:p>
      <w:pPr>
        <w:pStyle w:val="Heading1"/>
      </w:pPr>
      <w:r>
        <w:t>Interpreter Coordination</w:t>
      </w:r>
    </w:p>
    <w:p>
      <w:pPr>
        <w:pStyle w:val="Heading1"/>
      </w:pPr>
      <w:r>
        <w:t>Teacher Reflection</w:t>
      </w:r>
    </w:p>
    <w:p>
      <w:pPr>
        <w:pStyle w:val="Heading1"/>
      </w:pPr>
      <w:r>
        <w:t>Implementation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