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Train à vapeur des Cévennes</w:t>
      </w:r>
    </w:p>
    <w:p>
      <w:pPr>
        <w:pStyle w:val="Heading1"/>
      </w:pPr>
      <w:r>
        <w:t>Contrôle avant départ en période sèche</w:t>
      </w:r>
    </w:p>
    <w:p>
      <w:pPr>
        <w:pStyle w:val="Heading1"/>
      </w:pPr>
      <w:r>
        <w:t>Prévention des incendies le long des châtaigneraies</w:t>
      </w:r>
    </w:p>
    <w:p>
      <w:pPr>
        <w:pStyle w:val="Heading1"/>
      </w:pPr>
      <w:r>
        <w:t>Matériel de lutte embarqué</w:t>
      </w:r>
    </w:p>
    <w:p>
      <w:pPr>
        <w:pStyle w:val="Heading1"/>
      </w:pPr>
      <w:r>
        <w:t>Observations de l'équipe de conduite</w:t>
      </w:r>
    </w:p>
    <w:p>
      <w:pPr>
        <w:pStyle w:val="Heading1"/>
      </w:pPr>
      <w:r>
        <w:t>Signature de la responsable d'exploitation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