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Cores sazonais</w:t>
      </w:r>
    </w:p>
    <w:p>
      <w:pPr>
        <w:pStyle w:val="Heading1"/>
      </w:pPr>
      <w:r>
        <w:t>Identificação da coleção</w:t>
      </w:r>
    </w:p>
    <w:p>
      <w:pPr>
        <w:pStyle w:val="Heading1"/>
      </w:pPr>
      <w:r>
        <w:t>Data</w:t>
      </w:r>
    </w:p>
    <w:p>
      <w:pPr>
        <w:pStyle w:val="Heading1"/>
      </w:pPr>
      <w:r>
        <w:t>Fornecedor da lã</w:t>
      </w:r>
    </w:p>
    <w:p>
      <w:pPr>
        <w:pStyle w:val="Heading1"/>
      </w:pPr>
      <w:r>
        <w:t>Qualidade do burel</w:t>
      </w:r>
    </w:p>
    <w:p>
      <w:pPr>
        <w:pStyle w:val="Heading1"/>
      </w:pPr>
      <w:r>
        <w:t>Preparação do banho</w:t>
      </w:r>
    </w:p>
    <w:p>
      <w:pPr>
        <w:pStyle w:val="Heading1"/>
      </w:pPr>
      <w:r>
        <w:t>Proporções do corante</w:t>
      </w:r>
    </w:p>
    <w:p>
      <w:pPr>
        <w:pStyle w:val="Heading1"/>
      </w:pPr>
      <w:r>
        <w:t>Temperatura</w:t>
      </w:r>
    </w:p>
    <w:p>
      <w:pPr>
        <w:pStyle w:val="Heading1"/>
      </w:pPr>
      <w:r>
        <w:t>Tempo de fixação</w:t>
      </w:r>
    </w:p>
    <w:p>
      <w:pPr>
        <w:pStyle w:val="Heading1"/>
      </w:pPr>
      <w:r>
        <w:t>Enxaguamento</w:t>
      </w:r>
    </w:p>
    <w:p>
      <w:pPr>
        <w:pStyle w:val="Heading1"/>
      </w:pPr>
      <w:r>
        <w:t>Secagem</w:t>
      </w:r>
    </w:p>
    <w:p>
      <w:pPr>
        <w:pStyle w:val="Heading1"/>
      </w:pPr>
      <w:r>
        <w:t>Amostra de referência</w:t>
      </w:r>
    </w:p>
    <w:p>
      <w:pPr>
        <w:pStyle w:val="Heading1"/>
      </w:pPr>
      <w:r>
        <w:t>Verificação cromática</w:t>
      </w:r>
    </w:p>
    <w:p>
      <w:pPr>
        <w:pStyle w:val="Heading1"/>
      </w:pPr>
      <w:r>
        <w:t>Responsável</w:t>
      </w:r>
    </w:p>
    <w:p>
      <w:pPr>
        <w:pStyle w:val="Heading1"/>
      </w:pPr>
      <w:r>
        <w:t>Segurança</w:t>
      </w:r>
    </w:p>
    <w:p>
      <w:pPr>
        <w:pStyle w:val="Heading1"/>
      </w:pPr>
      <w:r>
        <w:t>Aprovação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Variações cromáticas de frio</w:t>
      </w:r>
    </w:p>
    <w:p>
      <w:pPr>
        <w:pStyle w:val="Heading1"/>
      </w:pPr>
      <w:r>
        <w:t>Códigos de amostras alternativas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