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Limites de produção</w:t>
      </w:r>
    </w:p>
    <w:p>
      <w:pPr>
        <w:pStyle w:val="Heading1"/>
      </w:pPr>
      <w:r>
        <w:t>Identificação da central</w:t>
      </w:r>
    </w:p>
    <w:p>
      <w:pPr>
        <w:pStyle w:val="Heading1"/>
      </w:pPr>
      <w:r>
        <w:t>Unidade</w:t>
      </w:r>
    </w:p>
    <w:p>
      <w:pPr>
        <w:pStyle w:val="Heading1"/>
      </w:pPr>
      <w:r>
        <w:t>Data</w:t>
      </w:r>
    </w:p>
    <w:p>
      <w:pPr>
        <w:pStyle w:val="Heading1"/>
      </w:pPr>
      <w:r>
        <w:t>Responsável</w:t>
      </w:r>
    </w:p>
    <w:p>
      <w:pPr>
        <w:pStyle w:val="Heading1"/>
      </w:pPr>
      <w:r>
        <w:t>Estado do reservatório</w:t>
      </w:r>
    </w:p>
    <w:p>
      <w:pPr>
        <w:pStyle w:val="Heading1"/>
      </w:pPr>
      <w:r>
        <w:t>Pressão de vapor</w:t>
      </w:r>
    </w:p>
    <w:p>
      <w:pPr>
        <w:pStyle w:val="Heading1"/>
      </w:pPr>
      <w:r>
        <w:t>Temperatura subterrânea</w:t>
      </w:r>
    </w:p>
    <w:p>
      <w:pPr>
        <w:pStyle w:val="Heading1"/>
      </w:pPr>
      <w:r>
        <w:t>Risco sísmico</w:t>
      </w:r>
    </w:p>
    <w:p>
      <w:pPr>
        <w:pStyle w:val="Heading1"/>
      </w:pPr>
      <w:r>
        <w:t>Gases corrosivos</w:t>
      </w:r>
    </w:p>
    <w:p>
      <w:pPr>
        <w:pStyle w:val="Heading1"/>
      </w:pPr>
      <w:r>
        <w:t>Procedimento de redução</w:t>
      </w:r>
    </w:p>
    <w:p>
      <w:pPr>
        <w:pStyle w:val="Heading1"/>
      </w:pPr>
      <w:r>
        <w:t>Monitorização</w:t>
      </w:r>
    </w:p>
    <w:p>
      <w:pPr>
        <w:pStyle w:val="Heading1"/>
      </w:pPr>
      <w:r>
        <w:t>Comunicação à rede</w:t>
      </w:r>
    </w:p>
    <w:p>
      <w:pPr>
        <w:pStyle w:val="Heading1"/>
      </w:pPr>
      <w:r>
        <w:t>Segurança</w:t>
      </w:r>
    </w:p>
    <w:p>
      <w:pPr>
        <w:pStyle w:val="Heading1"/>
      </w:pPr>
      <w:r>
        <w:t>Aprovação</w:t>
      </w:r>
    </w:p>
    <w:p>
      <w:pPr>
        <w:pStyle w:val="Heading1"/>
      </w:pPr>
      <w:r>
        <w:t>Registos</w:t>
      </w:r>
    </w:p>
    <w:p>
      <w:pPr>
        <w:pStyle w:val="Heading1"/>
      </w:pPr>
      <w:r>
        <w:t>Arquivo</w:t>
      </w:r>
    </w:p>
    <w:p>
      <w:pPr>
        <w:pStyle w:val="Heading1"/>
      </w:pPr>
      <w:r>
        <w:t>Notas finais</w:t>
      </w:r>
    </w:p>
    <w:p>
      <w:pPr>
        <w:pStyle w:val="Heading1"/>
      </w:pPr>
      <w:r>
        <w:t>Teto operacional temporário</w:t>
      </w:r>
    </w:p>
    <w:p>
      <w:pPr>
        <w:pStyle w:val="Heading1"/>
      </w:pPr>
      <w:r>
        <w:t>Recuperação da pressão do campo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