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Identificação da campanha</w:t>
      </w:r>
    </w:p>
    <w:p>
      <w:pPr>
        <w:pStyle w:val="Heading1"/>
      </w:pPr>
      <w:r>
        <w:t>Zonas de apanha</w:t>
      </w:r>
    </w:p>
    <w:p>
      <w:pPr>
        <w:pStyle w:val="Heading1"/>
      </w:pPr>
      <w:r>
        <w:t>Equipas manuais</w:t>
      </w:r>
    </w:p>
    <w:p>
      <w:pPr>
        <w:pStyle w:val="Heading1"/>
      </w:pPr>
      <w:r>
        <w:t>Datas previstas</w:t>
      </w:r>
    </w:p>
    <w:p>
      <w:pPr>
        <w:pStyle w:val="Heading1"/>
      </w:pPr>
      <w:r>
        <w:t>Metas de rendimento</w:t>
      </w:r>
    </w:p>
    <w:p>
      <w:pPr>
        <w:pStyle w:val="Heading1"/>
      </w:pPr>
      <w:r>
        <w:t>Secagem da castanha</w:t>
      </w:r>
    </w:p>
    <w:p>
      <w:pPr>
        <w:pStyle w:val="Heading1"/>
      </w:pPr>
      <w:r>
        <w:t>Produção de farinha</w:t>
      </w:r>
    </w:p>
    <w:p>
      <w:pPr>
        <w:pStyle w:val="Heading1"/>
      </w:pPr>
      <w:r>
        <w:t>Controlo de humidade</w:t>
      </w:r>
    </w:p>
    <w:p>
      <w:pPr>
        <w:pStyle w:val="Heading1"/>
      </w:pPr>
      <w:r>
        <w:t>Limites do parque</w:t>
      </w:r>
    </w:p>
    <w:p>
      <w:pPr>
        <w:pStyle w:val="Heading1"/>
      </w:pPr>
      <w:r>
        <w:t>Transporte</w:t>
      </w:r>
    </w:p>
    <w:p>
      <w:pPr>
        <w:pStyle w:val="Heading1"/>
      </w:pPr>
      <w:r>
        <w:t>Pesagem dos lotes</w:t>
      </w:r>
    </w:p>
    <w:p>
      <w:pPr>
        <w:pStyle w:val="Heading1"/>
      </w:pPr>
      <w:r>
        <w:t>Armazenamento</w:t>
      </w:r>
    </w:p>
    <w:p>
      <w:pPr>
        <w:pStyle w:val="Heading1"/>
      </w:pPr>
      <w:r>
        <w:t>Qualidade</w:t>
      </w:r>
    </w:p>
    <w:p>
      <w:pPr>
        <w:pStyle w:val="Heading1"/>
      </w:pPr>
      <w:r>
        <w:t>Venda local</w:t>
      </w:r>
    </w:p>
    <w:p>
      <w:pPr>
        <w:pStyle w:val="Heading1"/>
      </w:pPr>
      <w:r>
        <w:t>Exportação</w:t>
      </w:r>
    </w:p>
    <w:p>
      <w:pPr>
        <w:pStyle w:val="Heading1"/>
      </w:pPr>
      <w:r>
        <w:t>Revisão final</w:t>
      </w:r>
    </w:p>
    <w:p>
      <w:pPr>
        <w:pStyle w:val="Heading1"/>
      </w:pPr>
      <w:r>
        <w:t>Comparação de produção total</w:t>
      </w:r>
    </w:p>
    <w:p>
      <w:pPr>
        <w:pStyle w:val="Heading1"/>
      </w:pPr>
      <w:r>
        <w:t>Séries históricas por superfície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