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</w:t>
      </w:r>
    </w:p>
    <w:p>
      <w:pPr>
        <w:pStyle w:val="Heading1"/>
      </w:pPr>
      <w:r>
        <w:t>Plain Language Bullets</w:t>
      </w:r>
    </w:p>
    <w:p>
      <w:pPr>
        <w:pStyle w:val="Heading1"/>
      </w:pPr>
      <w:r>
        <w:t>Screening Notes</w:t>
      </w:r>
    </w:p>
    <w:p>
      <w:pPr>
        <w:pStyle w:val="Heading1"/>
      </w:pPr>
      <w:r>
        <w:t>Access Advice</w:t>
      </w:r>
    </w:p>
    <w:p>
      <w:pPr>
        <w:pStyle w:val="Heading1"/>
      </w:pPr>
      <w:r>
        <w:t>Language Support</w:t>
      </w:r>
    </w:p>
    <w:p>
      <w:pPr>
        <w:pStyle w:val="Heading1"/>
      </w:pPr>
      <w:r>
        <w:t>Reception Questions</w:t>
      </w:r>
    </w:p>
    <w:p>
      <w:pPr>
        <w:pStyle w:val="Heading1"/>
      </w:pPr>
      <w:r>
        <w:t>Volunteer Guidance</w:t>
      </w:r>
    </w:p>
    <w:p>
      <w:pPr>
        <w:pStyle w:val="Heading1"/>
      </w:pPr>
      <w:r>
        <w:t>Friday Queue Plan</w:t>
      </w:r>
    </w:p>
    <w:p>
      <w:pPr>
        <w:pStyle w:val="Heading1"/>
      </w:pPr>
      <w:r>
        <w:t>Privacy Arrangements</w:t>
      </w:r>
    </w:p>
    <w:p>
      <w:pPr>
        <w:pStyle w:val="Heading1"/>
      </w:pPr>
      <w:r>
        <w:t>Pharmacy Signposting</w:t>
      </w:r>
    </w:p>
    <w:p>
      <w:pPr>
        <w:pStyle w:val="Heading1"/>
      </w:pPr>
      <w:r>
        <w:t>Family Seating</w:t>
      </w:r>
    </w:p>
    <w:p>
      <w:pPr>
        <w:pStyle w:val="Heading1"/>
      </w:pPr>
      <w:r>
        <w:t>Follow Up Contacts</w:t>
      </w:r>
    </w:p>
    <w:p>
      <w:pPr>
        <w:pStyle w:val="Heading1"/>
      </w:pPr>
      <w:r>
        <w:t>Volunteer Arrival Notes</w:t>
      </w:r>
    </w:p>
    <w:p>
      <w:pPr>
        <w:pStyle w:val="Heading1"/>
      </w:pPr>
      <w:r>
        <w:t>Community Partner Signposting</w:t>
      </w:r>
    </w:p>
    <w:p>
      <w:pPr>
        <w:pStyle w:val="Heading1"/>
      </w:pPr>
      <w:r>
        <w:t>Accessible Seating Reminder</w:t>
      </w:r>
    </w:p>
    <w:p>
      <w:pPr>
        <w:pStyle w:val="Heading1"/>
      </w:pPr>
      <w:r>
        <w:t>End of Session Materials Check</w:t>
      </w:r>
    </w:p>
    <w:p>
      <w:pPr>
        <w:pStyle w:val="Heading1"/>
      </w:pPr>
      <w:r>
        <w:t>Lost Property Reminder</w:t>
      </w:r>
    </w:p>
    <w:p>
      <w:pPr>
        <w:pStyle w:val="Heading1"/>
      </w:pPr>
      <w:r>
        <w:t>Tea Table Storage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