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D6FC2" w14:textId="77777777" w:rsidR="003E146A" w:rsidRDefault="003E146A" w:rsidP="003E146A">
      <w:r>
        <w:t xml:space="preserve">Dynamically Interactive Visualization (DIVI) presents a novel approach to add interactions to static visualizations by decoupling </w:t>
      </w:r>
      <w:r w:rsidRPr="003E146A">
        <w:rPr>
          <w:b/>
          <w:bCs/>
        </w:rPr>
        <w:t>interaction logic</w:t>
      </w:r>
      <w:r>
        <w:t xml:space="preserve"> from chart specification. This allows interactions to extend across tools and charts without manual coding. The paper makes several notable contributions around interactive visualizations:</w:t>
      </w:r>
    </w:p>
    <w:p w14:paraId="5545258A" w14:textId="77777777" w:rsidR="003E146A" w:rsidRDefault="003E146A" w:rsidP="003E146A"/>
    <w:p w14:paraId="58BE0496" w14:textId="77777777" w:rsidR="003E146A" w:rsidRDefault="003E146A" w:rsidP="003E146A">
      <w:r>
        <w:t>It proposes a technique to deconstruct Scalable Vector Graphics (</w:t>
      </w:r>
      <w:r w:rsidRPr="003E146A">
        <w:rPr>
          <w:b/>
          <w:bCs/>
        </w:rPr>
        <w:t>SVG</w:t>
      </w:r>
      <w:r>
        <w:t>) and automatically extract visual encodings like axes, legends, and marks. This facilitates coordinating interactions dynamically.</w:t>
      </w:r>
    </w:p>
    <w:p w14:paraId="0CC2C616" w14:textId="77777777" w:rsidR="003E146A" w:rsidRDefault="003E146A" w:rsidP="003E146A">
      <w:r>
        <w:t>A taxonomy of visualization interaction types (</w:t>
      </w:r>
      <w:r w:rsidRPr="003E146A">
        <w:rPr>
          <w:b/>
          <w:bCs/>
        </w:rPr>
        <w:t>select, filter, sort, annotate, navigate</w:t>
      </w:r>
      <w:r>
        <w:t>) provides useful scaffolding when designing interactions.</w:t>
      </w:r>
    </w:p>
    <w:p w14:paraId="2735FA6F" w14:textId="77777777" w:rsidR="003E146A" w:rsidRDefault="003E146A" w:rsidP="003E146A">
      <w:r w:rsidRPr="003E146A">
        <w:rPr>
          <w:b/>
          <w:bCs/>
        </w:rPr>
        <w:t>Multi-view linking</w:t>
      </w:r>
      <w:r>
        <w:t xml:space="preserve"> through data analysis across charts is discussed in depth. Methods to infer transformations and propagate selections between views are presented.</w:t>
      </w:r>
    </w:p>
    <w:p w14:paraId="5CD52FE4" w14:textId="77777777" w:rsidR="003E146A" w:rsidRDefault="003E146A" w:rsidP="003E146A">
      <w:r>
        <w:t>Fine-grained interactions are implemented, including dragging, zooming, and tooltips on chart elements. The interaction design can inform similar efforts.</w:t>
      </w:r>
    </w:p>
    <w:p w14:paraId="799B272D" w14:textId="77777777" w:rsidR="003E146A" w:rsidRDefault="003E146A" w:rsidP="003E146A">
      <w:r>
        <w:t>Interactions are formalized across target, type, and input events. This provides a model for reasoning about the interaction space.</w:t>
      </w:r>
    </w:p>
    <w:p w14:paraId="503AD206" w14:textId="77777777" w:rsidR="003E146A" w:rsidRDefault="003E146A" w:rsidP="003E146A">
      <w:r>
        <w:t>A formative user study assesses the approach's usability for exploration and communication. The evaluation methodology is instructive.</w:t>
      </w:r>
    </w:p>
    <w:p w14:paraId="7B980093" w14:textId="77777777" w:rsidR="003E146A" w:rsidRDefault="003E146A" w:rsidP="003E146A">
      <w:r>
        <w:t>Various visualization libraries are leveraged, like D3 and Vega-Lite. Their applications can be referenced.</w:t>
      </w:r>
    </w:p>
    <w:p w14:paraId="115B03C9" w14:textId="2B727F70" w:rsidR="003E146A" w:rsidRDefault="003E146A" w:rsidP="003E146A">
      <w:r>
        <w:t xml:space="preserve">Limitations around purely SVG-based inference </w:t>
      </w:r>
      <w:r>
        <w:t>is</w:t>
      </w:r>
      <w:r>
        <w:t xml:space="preserve"> summarized, notably custom charts and semantic structures.</w:t>
      </w:r>
    </w:p>
    <w:p w14:paraId="6A4E9A8D" w14:textId="45C5E05E" w:rsidR="007110B4" w:rsidRDefault="003E146A" w:rsidP="003E146A">
      <w:r>
        <w:t>In summary, the paper undertakes a systematic investigation into visualization interactions. The proposed techniques, taxonomies, implementations, and assessments provide valuable references for designing interactive visualizations. The concepts and methodology presented can inform related efforts in this domain.</w:t>
      </w:r>
      <w:r>
        <w:br/>
      </w:r>
      <w:r>
        <w:br/>
        <w:t>Also some pseudocodes are helpful</w:t>
      </w:r>
      <w:r>
        <w:br/>
      </w:r>
      <w:r>
        <w:br/>
        <w:t>Reference:</w:t>
      </w:r>
      <w:r>
        <w:br/>
      </w:r>
      <w:r>
        <w:rPr>
          <w:rFonts w:ascii="Arial" w:hAnsi="Arial" w:cs="Arial"/>
          <w:color w:val="333333"/>
          <w:sz w:val="20"/>
          <w:szCs w:val="20"/>
          <w:shd w:val="clear" w:color="auto" w:fill="FFFFFF"/>
        </w:rPr>
        <w:t>L. S. Snyder and J. Heer, "DIVI: Dynamically Interactive Visualization," in </w:t>
      </w:r>
      <w:r>
        <w:rPr>
          <w:rStyle w:val="a3"/>
          <w:rFonts w:ascii="Arial" w:hAnsi="Arial" w:cs="Arial"/>
          <w:color w:val="333333"/>
          <w:sz w:val="20"/>
          <w:szCs w:val="20"/>
          <w:shd w:val="clear" w:color="auto" w:fill="FFFFFF"/>
        </w:rPr>
        <w:t>IEEE Transactions on Visualization and Computer Graphics</w:t>
      </w:r>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10.1109/TVCG.2023.3327172.</w:t>
      </w:r>
      <w:r>
        <w:rPr>
          <w:rFonts w:ascii="Arial" w:hAnsi="Arial" w:cs="Arial"/>
          <w:color w:val="333333"/>
          <w:sz w:val="20"/>
          <w:szCs w:val="20"/>
          <w:shd w:val="clear" w:color="auto" w:fill="FFFFFF"/>
        </w:rPr>
        <w:br/>
        <w:t>27/10/2023</w:t>
      </w:r>
    </w:p>
    <w:sectPr w:rsidR="007110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BB4"/>
    <w:rsid w:val="003E146A"/>
    <w:rsid w:val="007110B4"/>
    <w:rsid w:val="008B6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FB929"/>
  <w15:chartTrackingRefBased/>
  <w15:docId w15:val="{ADBDED87-0160-49C5-9EAD-DB8FEE27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3E14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3054</TotalTime>
  <Pages>1</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Ziyue WANG</dc:creator>
  <cp:keywords/>
  <dc:description/>
  <cp:lastModifiedBy>Ziyue WANG</cp:lastModifiedBy>
  <cp:revision>2</cp:revision>
  <dcterms:created xsi:type="dcterms:W3CDTF">2023-11-03T14:25:00Z</dcterms:created>
  <dcterms:modified xsi:type="dcterms:W3CDTF">2023-11-03T14:25:00Z</dcterms:modified>
</cp:coreProperties>
</file>