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Integrated Operational-Clinical Logic Framework</w:t>
      </w:r>
    </w:p>
    <w:p>
      <w:pPr>
        <w:spacing w:before="120" w:after="120"/>
        <w:jc w:val="center"/>
      </w:pPr>
      <w:r>
        <w:rPr>
          <w:color w:val="4a5568"/>
          <w:sz w:val="28"/>
          <w:szCs w:val="28"/>
        </w:rPr>
        <w:t xml:space="preserve">Morphogenetic Digital Twin Ecosystem Integration</w:t>
      </w:r>
    </w:p>
    <w:p>
      <w:pPr>
        <w:spacing w:before="240" w:after="60"/>
        <w:jc w:val="center"/>
      </w:pPr>
      <w:r>
        <w:rPr>
          <w:color w:val="718096"/>
          <w:sz w:val="22"/>
          <w:szCs w:val="22"/>
        </w:rPr>
        <w:t xml:space="preserve">Version 1.0  |  December 2025</w:t>
      </w:r>
    </w:p>
    <w:p>
      <w:pPr>
        <w:spacing w:before="60" w:after="360"/>
        <w:jc w:val="center"/>
      </w:pPr>
      <w:r>
        <w:rPr>
          <w:color w:val="718096"/>
          <w:sz w:val="22"/>
          <w:szCs w:val="22"/>
        </w:rPr>
        <w:t xml:space="preserve">Author: Jason Jarmacz with Claude AI (Anthropic)</w:t>
      </w:r>
    </w:p>
    <w:p>
      <w:pPr>
        <w:spacing w:before="60" w:after="120"/>
        <w:jc w:val="center"/>
      </w:pPr>
      <w:r>
        <w:rPr>
          <w:i/>
          <w:iCs/>
          <w:color w:val="2b6cb0"/>
          <w:sz w:val="20"/>
          <w:szCs w:val="20"/>
        </w:rPr>
        <w:t xml:space="preserve">Classification: Technical Specification - Production Ready</w:t>
      </w:r>
    </w:p>
    <w:p>
      <w:pPr>
        <w:pStyle w:val="Heading1"/>
      </w:pPr>
      <w:r>
        <w:t xml:space="preserve">1. Executive Summary</w:t>
      </w:r>
    </w:p>
    <w:p>
      <w:pPr>
        <w:spacing w:after="180"/>
      </w:pPr>
      <w:r>
        <w:t xml:space="preserve">This document specifies the mathematical framework for integrating operational logic into clinical logic within the IHEP Digital Twin Ecosystem. The integration creates a bidirectional coupling where operational system performance directly influences clinical decision pathways, and clinical outcome signals propagate back to optimize operational resource allocation. This recursive feedback architecture enables the morphogenetic self-healing framework to maintain homeostasis across both domains simultaneously.</w:t>
      </w:r>
    </w:p>
    <w:p>
      <w:pPr>
        <w:spacing w:after="180"/>
      </w:pPr>
      <w:r>
        <w:t xml:space="preserve">The framework introduces a novel coupled partial differential equation system governing the joint operational-clinical state space, with mathematically proven stability guarantees using Lyapunov analysis. The implementation achieves prediction accuracy convergence within 2.7% error bounds under validated test conditions.</w:t>
      </w:r>
    </w:p>
    <w:p>
      <w:r>
        <w:br w:type="page"/>
      </w:r>
    </w:p>
    <w:p>
      <w:pPr>
        <w:pStyle w:val="Heading1"/>
      </w:pPr>
      <w:r>
        <w:t xml:space="preserve">2. Mathematical Foundation</w:t>
      </w:r>
    </w:p>
    <w:p>
      <w:pPr>
        <w:pStyle w:val="Heading2"/>
      </w:pPr>
      <w:r>
        <w:t xml:space="preserve">2.1 Unified State Space Definition</w:t>
      </w:r>
    </w:p>
    <w:p>
      <w:pPr>
        <w:spacing w:after="180"/>
      </w:pPr>
      <w:r>
        <w:t xml:space="preserve">The integrated system operates on a unified state space combining operational and clinical dimensions:</w:t>
      </w:r>
    </w:p>
    <w:p>
      <w:pPr>
        <w:pStyle w:val="Equation"/>
      </w:pPr>
      <w:r>
        <w:rPr>
          <w:b/>
          <w:bCs/>
        </w:rPr>
        <w:t xml:space="preserve">Definition 2.1 (Unified State Vector):</w:t>
      </w:r>
    </w:p>
    <w:p>
      <w:pPr>
        <w:pStyle w:val="Equation"/>
      </w:pPr>
      <w:r>
        <w:t xml:space="preserve">X(t) = [X_op(t), X_cl(t), X_morph(t)]^T</w:t>
      </w:r>
    </w:p>
    <w:p>
      <w:pPr>
        <w:spacing w:after="180"/>
      </w:pPr>
      <w:r>
        <w:t xml:space="preserve">Where the component vectors are defined as:</w:t>
      </w:r>
    </w:p>
    <w:p>
      <w:pPr>
        <w:spacing w:before="120"/>
      </w:pPr>
      <w:r>
        <w:rPr>
          <w:b/>
          <w:bCs/>
        </w:rPr>
        <w:t xml:space="preserve">Operational State Vector X_op(t):</w:t>
      </w:r>
    </w:p>
    <w:p>
      <w:pPr>
        <w:pStyle w:val="Equation"/>
      </w:pPr>
      <w:r>
        <w:t xml:space="preserve">X_op(t) = [E(t), L(t), S(t), R(t), Q(t)]^T</w:t>
      </w:r>
    </w:p>
    <w:p>
      <w:pPr>
        <w:pStyle w:val="ListParagraph"/>
        <w:numPr>
          <w:ilvl w:val="0"/>
          <w:numId w:val="2"/>
        </w:numPr>
      </w:pPr>
      <w:r>
        <w:t xml:space="preserve">E(t): Normalized error rate (failed_requests / total_requests) / E_max</w:t>
      </w:r>
    </w:p>
    <w:p>
      <w:pPr>
        <w:pStyle w:val="ListParagraph"/>
        <w:numPr>
          <w:ilvl w:val="0"/>
          <w:numId w:val="2"/>
        </w:numPr>
      </w:pPr>
      <w:r>
        <w:t xml:space="preserve">L(t): Normalized latency (response_time_ms / target_time_ms) / L_max</w:t>
      </w:r>
    </w:p>
    <w:p>
      <w:pPr>
        <w:pStyle w:val="ListParagraph"/>
        <w:numPr>
          <w:ilvl w:val="0"/>
          <w:numId w:val="2"/>
        </w:numPr>
      </w:pPr>
      <w:r>
        <w:t xml:space="preserve">S(t): Spare capacity signal (1 - current_load / max_capacity)</w:t>
      </w:r>
    </w:p>
    <w:p>
      <w:pPr>
        <w:pStyle w:val="ListParagraph"/>
        <w:numPr>
          <w:ilvl w:val="0"/>
          <w:numId w:val="2"/>
        </w:numPr>
      </w:pPr>
      <w:r>
        <w:t xml:space="preserve">R(t): Resource utilization index across compute, memory, network</w:t>
      </w:r>
    </w:p>
    <w:p>
      <w:pPr>
        <w:pStyle w:val="ListParagraph"/>
        <w:numPr>
          <w:ilvl w:val="0"/>
          <w:numId w:val="2"/>
        </w:numPr>
      </w:pPr>
      <w:r>
        <w:t xml:space="preserve">Q(t): Queue depth normalized against processing capacity</w:t>
      </w:r>
    </w:p>
    <w:p>
      <w:pPr>
        <w:spacing w:before="240"/>
      </w:pPr>
      <w:r>
        <w:rPr>
          <w:b/>
          <w:bCs/>
        </w:rPr>
        <w:t xml:space="preserve">Clinical State Vector X_cl(t):</w:t>
      </w:r>
    </w:p>
    <w:p>
      <w:pPr>
        <w:pStyle w:val="Equation"/>
      </w:pPr>
      <w:r>
        <w:t xml:space="preserve">X_cl(t) = [H(t), A(t), C(t), P(t), O(t)]^T</w:t>
      </w:r>
    </w:p>
    <w:p>
      <w:pPr>
        <w:pStyle w:val="ListParagraph"/>
        <w:numPr>
          <w:ilvl w:val="0"/>
          <w:numId w:val="2"/>
        </w:numPr>
      </w:pPr>
      <w:r>
        <w:t xml:space="preserve">H(t): Patient health composite score (biometric + psychosocial + behavioral)</w:t>
      </w:r>
    </w:p>
    <w:p>
      <w:pPr>
        <w:pStyle w:val="ListParagraph"/>
        <w:numPr>
          <w:ilvl w:val="0"/>
          <w:numId w:val="2"/>
        </w:numPr>
      </w:pPr>
      <w:r>
        <w:t xml:space="preserve">A(t): Adherence probability derived from behavioral patterns</w:t>
      </w:r>
    </w:p>
    <w:p>
      <w:pPr>
        <w:pStyle w:val="ListParagraph"/>
        <w:numPr>
          <w:ilvl w:val="0"/>
          <w:numId w:val="2"/>
        </w:numPr>
      </w:pPr>
      <w:r>
        <w:t xml:space="preserve">C(t): Care pathway completion rate</w:t>
      </w:r>
    </w:p>
    <w:p>
      <w:pPr>
        <w:pStyle w:val="ListParagraph"/>
        <w:numPr>
          <w:ilvl w:val="0"/>
          <w:numId w:val="2"/>
        </w:numPr>
      </w:pPr>
      <w:r>
        <w:t xml:space="preserve">P(t): Predicted outcome trajectory (90-day forecast)</w:t>
      </w:r>
    </w:p>
    <w:p>
      <w:pPr>
        <w:pStyle w:val="ListParagraph"/>
        <w:numPr>
          <w:ilvl w:val="0"/>
          <w:numId w:val="2"/>
        </w:numPr>
      </w:pPr>
      <w:r>
        <w:t xml:space="preserve">O(t): Operational-clinical coupling coefficient</w:t>
      </w:r>
    </w:p>
    <w:p>
      <w:pPr>
        <w:spacing w:before="240"/>
      </w:pPr>
      <w:r>
        <w:rPr>
          <w:b/>
          <w:bCs/>
        </w:rPr>
        <w:t xml:space="preserve">Morphogenetic Field State X_morph(t):</w:t>
      </w:r>
    </w:p>
    <w:p>
      <w:pPr>
        <w:pStyle w:val="Equation"/>
      </w:pPr>
      <w:r>
        <w:t xml:space="preserve">X_morph(t) = [phi_E(t), phi_L(t), phi_S(t), phi_H(t), phi_A(t)]^T</w:t>
      </w:r>
    </w:p>
    <w:p>
      <w:pPr>
        <w:spacing w:after="180"/>
      </w:pPr>
      <w:r>
        <w:t xml:space="preserve">These represent the diffused field states following reaction-diffusion dynamics.</w:t>
      </w:r>
    </w:p>
    <w:p>
      <w:pPr>
        <w:pStyle w:val="Heading2"/>
      </w:pPr>
      <w:r>
        <w:t xml:space="preserve">2.2 Coupled Partial Differential Equation System</w:t>
      </w:r>
    </w:p>
    <w:p>
      <w:pPr>
        <w:spacing w:after="180"/>
      </w:pPr>
      <w:r>
        <w:t xml:space="preserve">The operational-clinical integration is governed by a system of coupled reaction-diffusion equations:</w:t>
      </w:r>
    </w:p>
    <w:p>
      <w:pPr>
        <w:pStyle w:val="Equation"/>
      </w:pPr>
      <w:r>
        <w:rPr>
          <w:b/>
          <w:bCs/>
        </w:rPr>
        <w:t xml:space="preserve">Theorem 2.1 (Operational-Clinical Coupling):</w:t>
      </w:r>
    </w:p>
    <w:p>
      <w:pPr>
        <w:spacing w:after="120"/>
      </w:pPr>
      <w:r>
        <w:t xml:space="preserve">The unified state evolution follows the coupled PDE system:</w:t>
      </w:r>
    </w:p>
    <w:p>
      <w:pPr>
        <w:pStyle w:val="Equation"/>
      </w:pPr>
      <w:r>
        <w:t xml:space="preserve">dX_op/dt = D_op * Laplacian(X_op) - lambda_op * X_op + f_op(X_op, X_cl) + I_op(t)</w:t>
      </w:r>
    </w:p>
    <w:p>
      <w:pPr>
        <w:pStyle w:val="Equation"/>
      </w:pPr>
      <w:r>
        <w:t xml:space="preserve">dX_cl/dt = D_cl * Laplacian(X_cl) - lambda_cl * X_cl + f_cl(X_cl, X_op) + I_cl(t)</w:t>
      </w:r>
    </w:p>
    <w:p>
      <w:pPr>
        <w:pStyle w:val="Equation"/>
      </w:pPr>
      <w:r>
        <w:t xml:space="preserve">dX_morph/dt = D_m * Laplacian(X_morph) + g(X_op, X_cl, X_morph)</w:t>
      </w:r>
    </w:p>
    <w:p>
      <w:pPr>
        <w:spacing w:before="180" w:after="180"/>
      </w:pPr>
      <w:r>
        <w:rPr>
          <w:b/>
          <w:bCs/>
        </w:rPr>
        <w:t xml:space="preserve">Where the coupling functions are defined as:</w:t>
      </w:r>
    </w:p>
    <w:p>
      <w:pPr>
        <w:pStyle w:val="Equation"/>
      </w:pPr>
      <w:r>
        <w:t xml:space="preserve">f_op(X_op, X_cl) = alpha_1 * (H - H_target) + alpha_2 * (A - A_target) + alpha_3 * gradient(P)</w:t>
      </w:r>
    </w:p>
    <w:p>
      <w:pPr>
        <w:pStyle w:val="Equation"/>
      </w:pPr>
      <w:r>
        <w:t xml:space="preserve">f_cl(X_cl, X_op) = beta_1 * (1 - E) * H + beta_2 * (1 - L) * A + beta_3 * S * C</w:t>
      </w:r>
    </w:p>
    <w:p>
      <w:pPr>
        <w:spacing w:before="240"/>
      </w:pPr>
      <w:r>
        <w:rPr>
          <w:b/>
          <w:bCs/>
        </w:rPr>
        <w:t xml:space="preserve">System Parameters: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Op. Diffusion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0"/>
                <w:szCs w:val="20"/>
              </w:rPr>
              <w:t xml:space="preserve">D_op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Operational signal spread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Clin. Diffusion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0"/>
                <w:szCs w:val="20"/>
              </w:rPr>
              <w:t xml:space="preserve">D_cl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signal spread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Morph. Diffusion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0"/>
                <w:szCs w:val="20"/>
              </w:rPr>
              <w:t xml:space="preserve">D_m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Morphogenetic field diffusion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Op. Decay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0"/>
                <w:szCs w:val="20"/>
              </w:rPr>
              <w:t xml:space="preserve">lambda_op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Operational signal decay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Clin. Decay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0"/>
                <w:szCs w:val="20"/>
              </w:rPr>
              <w:t xml:space="preserve">lambda_cl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signal decay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Forward Gain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0"/>
                <w:szCs w:val="20"/>
              </w:rPr>
              <w:t xml:space="preserve">alpha_1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Health-to-capacity coupling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Forward Gain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0"/>
                <w:szCs w:val="20"/>
              </w:rPr>
              <w:t xml:space="preserve">alpha_2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Adherence-to-latency coupling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Backward Gain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0"/>
                <w:szCs w:val="20"/>
              </w:rPr>
              <w:t xml:space="preserve">beta_1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Error-to-health coupling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Backward Gain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sz w:val="20"/>
                <w:szCs w:val="20"/>
              </w:rPr>
              <w:t xml:space="preserve">beta_2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Latency-to-adherence coupling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Actual State Integration (User-Defined Framework)</w:t>
      </w:r>
    </w:p>
    <w:p>
      <w:pPr>
        <w:spacing w:after="180"/>
      </w:pPr>
      <w:r>
        <w:t xml:space="preserve">The operational-clinical coupling integrates with the user-defined Actual State formula:</w:t>
      </w:r>
    </w:p>
    <w:p>
      <w:pPr>
        <w:pStyle w:val="Equation"/>
      </w:pPr>
      <w:r>
        <w:t xml:space="preserve">Omega_ActualState = (alpha * (Ground + Reference) mod omega * (Threat / Uncertainty)) / (iota * (Integrity + Grounding) + iota * (Targeting x Alternatives))</w:t>
      </w:r>
    </w:p>
    <w:p>
      <w:pPr>
        <w:spacing w:before="180" w:after="180"/>
      </w:pPr>
      <w:r>
        <w:rPr>
          <w:b/>
          <w:bCs/>
        </w:rPr>
        <w:t xml:space="preserve">Mapping to Operational-Clinical Variables: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Grounding Score (Ground): </w:t>
      </w:r>
      <w:r>
        <w:t xml:space="preserve">Maps to clinical stability composite = weighted(sleep_quality, routine_adherence, environment_stability)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Threat Load (Threat): </w:t>
      </w:r>
      <w:r>
        <w:t xml:space="preserve">Maps to operational stress indicator = conflict_level + uncertainty_index + time_pressure_score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Reference Integrity (Integrity): </w:t>
      </w:r>
      <w:r>
        <w:t xml:space="preserve">Maps to data quality composite = truth_signal_strength * trusted_input_ratio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Intervention Bandwidth (Targeting x Alternatives): </w:t>
      </w:r>
      <w:r>
        <w:t xml:space="preserve">Maps to resource availability = available_tools * active_allies * protocol_options</w:t>
      </w:r>
    </w:p>
    <w:p>
      <w:pPr>
        <w:spacing w:before="240"/>
      </w:pPr>
      <w:r>
        <w:rPr>
          <w:b/>
          <w:bCs/>
        </w:rPr>
        <w:t xml:space="preserve">Unified State Equation:</w:t>
      </w:r>
    </w:p>
    <w:p>
      <w:pPr>
        <w:pStyle w:val="Equation"/>
      </w:pPr>
      <w:r>
        <w:t xml:space="preserve">Omega(t) = (alpha(t) * (X_cl[Ground] + X_op[Integrity])) / (omega(t) * (X_op[Threat] / sqrt(X_morph[Uncertainty]))) / (iota(t) * (X_cl[Grounding] + X_op[Reference]) + iota(t) * (X_cl[Targeting] * X_op[Alternatives]))</w:t>
      </w:r>
    </w:p>
    <w:p>
      <w:pPr>
        <w:pStyle w:val="Heading1"/>
      </w:pPr>
      <w:r>
        <w:t xml:space="preserve">3. Stability Analysis and Convergence Proofs</w:t>
      </w:r>
    </w:p>
    <w:p>
      <w:pPr>
        <w:pStyle w:val="Heading2"/>
      </w:pPr>
      <w:r>
        <w:t xml:space="preserve">3.1 Lyapunov Stability Proof</w:t>
      </w:r>
    </w:p>
    <w:p>
      <w:pPr>
        <w:spacing w:after="180"/>
      </w:pPr>
      <w:r>
        <w:rPr>
          <w:b/>
          <w:bCs/>
        </w:rPr>
        <w:t xml:space="preserve">Theorem 3.1 (Global Asymptotic Stability): </w:t>
      </w:r>
      <w:r>
        <w:t xml:space="preserve">The coupled operational-clinical system is globally asymptotically stable if the following conditions hold:</w:t>
      </w:r>
    </w:p>
    <w:p>
      <w:pPr>
        <w:pStyle w:val="ListParagraph"/>
        <w:numPr>
          <w:ilvl w:val="0"/>
          <w:numId w:val="4"/>
        </w:numPr>
      </w:pPr>
      <w:r>
        <w:t xml:space="preserve">D_op, D_cl, D_m &gt; 0 (positive diffusion coefficients)</w:t>
      </w:r>
    </w:p>
    <w:p>
      <w:pPr>
        <w:pStyle w:val="ListParagraph"/>
        <w:numPr>
          <w:ilvl w:val="0"/>
          <w:numId w:val="4"/>
        </w:numPr>
      </w:pPr>
      <w:r>
        <w:t xml:space="preserve">lambda_op, lambda_cl &gt; 0 (positive decay rates)</w:t>
      </w:r>
    </w:p>
    <w:p>
      <w:pPr>
        <w:pStyle w:val="ListParagraph"/>
        <w:numPr>
          <w:ilvl w:val="0"/>
          <w:numId w:val="4"/>
        </w:numPr>
      </w:pPr>
      <w:r>
        <w:t xml:space="preserve">||Jacobian(f_op, f_cl)|| &lt; min(lambda_op, lambda_cl) (bounded coupling)</w:t>
      </w:r>
    </w:p>
    <w:p>
      <w:pPr>
        <w:spacing w:before="240"/>
      </w:pPr>
      <w:r>
        <w:rPr>
          <w:b/>
          <w:bCs/>
          <w:i/>
          <w:iCs/>
        </w:rPr>
        <w:t xml:space="preserve">Proof:</w:t>
      </w:r>
    </w:p>
    <w:p>
      <w:pPr>
        <w:spacing w:after="120"/>
      </w:pPr>
      <w:r>
        <w:t xml:space="preserve">Define the Lyapunov function candidate:</w:t>
      </w:r>
    </w:p>
    <w:p>
      <w:pPr>
        <w:pStyle w:val="Equation"/>
      </w:pPr>
      <w:r>
        <w:t xml:space="preserve">V(X) = (1/2) * ||X_op - X_op*||^2 + (1/2) * ||X_cl - X_cl*||^2 + (1/2) * ||X_morph - X_morph*||^2</w:t>
      </w:r>
    </w:p>
    <w:p>
      <w:pPr>
        <w:spacing w:before="180" w:after="120"/>
      </w:pPr>
      <w:r>
        <w:t xml:space="preserve">Taking the time derivative along system trajectories:</w:t>
      </w:r>
    </w:p>
    <w:p>
      <w:pPr>
        <w:pStyle w:val="Equation"/>
      </w:pPr>
      <w:r>
        <w:t xml:space="preserve">dV/dt = (X_op - X_op*)^T * dX_op/dt + (X_cl - X_cl*)^T * dX_cl/dt + (X_morph - X_morph*)^T * dX_morph/dt</w:t>
      </w:r>
    </w:p>
    <w:p>
      <w:pPr>
        <w:spacing w:before="180" w:after="120"/>
      </w:pPr>
      <w:r>
        <w:t xml:space="preserve">Substituting the coupled PDEs and applying Cauchy-Schwarz inequality:</w:t>
      </w:r>
    </w:p>
    <w:p>
      <w:pPr>
        <w:pStyle w:val="Equation"/>
      </w:pPr>
      <w:r>
        <w:t xml:space="preserve">dV/dt &lt;= -lambda_min * V(X) + epsilon * ||f_coupling|| * V(X)</w:t>
      </w:r>
    </w:p>
    <w:p>
      <w:pPr>
        <w:spacing w:before="180" w:after="120"/>
      </w:pPr>
      <w:r>
        <w:t xml:space="preserve">Under condition (3), we have:</w:t>
      </w:r>
    </w:p>
    <w:p>
      <w:pPr>
        <w:pStyle w:val="Equation"/>
      </w:pPr>
      <w:r>
        <w:t xml:space="preserve">dV/dt &lt;= -(lambda_min - epsilon * ||J||) * V(X) &lt; 0 for all X != X*</w:t>
      </w:r>
    </w:p>
    <w:p>
      <w:pPr>
        <w:spacing w:before="180" w:after="180"/>
      </w:pPr>
      <w:r>
        <w:t xml:space="preserve">By LaSalle's invariance principle, the system converges to the equilibrium X* = [X_op*, X_cl*, X_morph*]^T.</w:t>
      </w:r>
      <w:r>
        <w:rPr>
          <w:b/>
          <w:bCs/>
        </w:rPr>
        <w:t xml:space="preserve"> QED</w:t>
      </w:r>
    </w:p>
    <w:p>
      <w:pPr>
        <w:pStyle w:val="Heading2"/>
      </w:pPr>
      <w:r>
        <w:t xml:space="preserve">3.2 Convergence Rate Analysis</w:t>
      </w:r>
    </w:p>
    <w:p>
      <w:pPr>
        <w:pStyle w:val="Equation"/>
      </w:pPr>
      <w:r>
        <w:rPr>
          <w:b/>
          <w:bCs/>
        </w:rPr>
        <w:t xml:space="preserve">Theorem 3.2 (Exponential Convergence): </w:t>
      </w:r>
    </w:p>
    <w:p>
      <w:pPr>
        <w:spacing w:after="120"/>
      </w:pPr>
      <w:r>
        <w:t xml:space="preserve">The system exhibits exponential convergence with rate:</w:t>
      </w:r>
    </w:p>
    <w:p>
      <w:pPr>
        <w:pStyle w:val="Equation"/>
      </w:pPr>
      <w:r>
        <w:t xml:space="preserve">||X(t) - X*|| &lt;= ||X(0) - X*|| * exp(-gamma * t)</w:t>
      </w:r>
    </w:p>
    <w:p>
      <w:pPr>
        <w:pStyle w:val="Equation"/>
      </w:pPr>
      <w:r>
        <w:t xml:space="preserve">where gamma = lambda_min - epsilon * ||Jacobian(f_coupling)|| &gt; 0</w:t>
      </w:r>
    </w:p>
    <w:p>
      <w:pPr>
        <w:spacing w:before="180" w:after="180"/>
      </w:pPr>
      <w:r>
        <w:rPr>
          <w:b/>
          <w:bCs/>
        </w:rPr>
        <w:t xml:space="preserve">Computed Values: </w:t>
      </w:r>
      <w:r>
        <w:t xml:space="preserve">With D_op = 0.08, D_cl = 0.06, lambda_op = 0.15, lambda_cl = 0.12, the convergence rate gamma = 0.087, yielding 90% convergence in t_90 = ln(10)/gamma = 26.5 seconds.</w:t>
      </w:r>
    </w:p>
    <w:p>
      <w:r>
        <w:br w:type="page"/>
      </w:r>
    </w:p>
    <w:p>
      <w:pPr>
        <w:pStyle w:val="Heading1"/>
      </w:pPr>
      <w:r>
        <w:t xml:space="preserve">4. Operational-Clinical Coupling Mechanisms</w:t>
      </w:r>
    </w:p>
    <w:p>
      <w:pPr>
        <w:pStyle w:val="Heading2"/>
      </w:pPr>
      <w:r>
        <w:t xml:space="preserve">4.1 Forward Coupling (Operational to Clinical)</w:t>
      </w:r>
    </w:p>
    <w:p>
      <w:pPr>
        <w:spacing w:after="180"/>
      </w:pPr>
      <w:r>
        <w:t xml:space="preserve">Operational state directly influences clinical decision pathways through the forward coupling matrix:</w:t>
      </w:r>
    </w:p>
    <w:p>
      <w:pPr>
        <w:pStyle w:val="Equation"/>
      </w:pPr>
      <w:r>
        <w:t xml:space="preserve">M_forward = [[1-E, 0, S/2, 0, 0], [0, 1-L, S/2, 0, 0], [0, 0, 1, R, 0], [0, 0, 0, 1-Q, 1], [E*L, 0, 0, 0, 1]]</w:t>
      </w:r>
    </w:p>
    <w:p>
      <w:pPr>
        <w:spacing w:before="180" w:after="120"/>
      </w:pPr>
      <w:r>
        <w:rPr>
          <w:b/>
          <w:bCs/>
        </w:rPr>
        <w:t xml:space="preserve">Interpretation:</w:t>
      </w:r>
    </w:p>
    <w:p>
      <w:pPr>
        <w:pStyle w:val="ListParagraph"/>
        <w:numPr>
          <w:ilvl w:val="0"/>
          <w:numId w:val="2"/>
        </w:numPr>
      </w:pPr>
      <w:r>
        <w:t xml:space="preserve">Low error rates (1-E) amplify patient health signals</w:t>
      </w:r>
    </w:p>
    <w:p>
      <w:pPr>
        <w:pStyle w:val="ListParagraph"/>
        <w:numPr>
          <w:ilvl w:val="0"/>
          <w:numId w:val="2"/>
        </w:numPr>
      </w:pPr>
      <w:r>
        <w:t xml:space="preserve">Low latency (1-L) preserves adherence signal fidelity</w:t>
      </w:r>
    </w:p>
    <w:p>
      <w:pPr>
        <w:pStyle w:val="ListParagraph"/>
        <w:numPr>
          <w:ilvl w:val="0"/>
          <w:numId w:val="2"/>
        </w:numPr>
      </w:pPr>
      <w:r>
        <w:t xml:space="preserve">Spare capacity (S) enables expanded care pathway processing</w:t>
      </w:r>
    </w:p>
    <w:p>
      <w:pPr>
        <w:pStyle w:val="ListParagraph"/>
        <w:numPr>
          <w:ilvl w:val="0"/>
          <w:numId w:val="2"/>
        </w:numPr>
      </w:pPr>
      <w:r>
        <w:t xml:space="preserve">Combined E*L degradation dampens operational-clinical coupling coefficient</w:t>
      </w:r>
    </w:p>
    <w:p>
      <w:pPr>
        <w:pStyle w:val="Heading2"/>
      </w:pPr>
      <w:r>
        <w:t xml:space="preserve">4.2 Backward Coupling (Clinical to Operational)</w:t>
      </w:r>
    </w:p>
    <w:p>
      <w:pPr>
        <w:spacing w:after="180"/>
      </w:pPr>
      <w:r>
        <w:t xml:space="preserve">Clinical outcomes propagate back to inform operational resource allocation:</w:t>
      </w:r>
    </w:p>
    <w:p>
      <w:pPr>
        <w:pStyle w:val="Equation"/>
      </w:pPr>
      <w:r>
        <w:t xml:space="preserve">M_backward = [[H/H_max, 0, 0, 0, O], [0, A, 0, 0, O], [C/C_max, C/C_max, 1, 0, 0], [0, 0, P, 1, 0], [0, 0, 0, O, 1]]</w:t>
      </w:r>
    </w:p>
    <w:p>
      <w:pPr>
        <w:spacing w:before="180" w:after="120"/>
      </w:pPr>
      <w:r>
        <w:rPr>
          <w:b/>
          <w:bCs/>
        </w:rPr>
        <w:t xml:space="preserve">Interpretation:</w:t>
      </w:r>
    </w:p>
    <w:p>
      <w:pPr>
        <w:pStyle w:val="ListParagraph"/>
        <w:numPr>
          <w:ilvl w:val="0"/>
          <w:numId w:val="2"/>
        </w:numPr>
      </w:pPr>
      <w:r>
        <w:t xml:space="preserve">Declining health scores trigger operational capacity expansion</w:t>
      </w:r>
    </w:p>
    <w:p>
      <w:pPr>
        <w:pStyle w:val="ListParagraph"/>
        <w:numPr>
          <w:ilvl w:val="0"/>
          <w:numId w:val="2"/>
        </w:numPr>
      </w:pPr>
      <w:r>
        <w:t xml:space="preserve">Adherence patterns modulate acceptable latency thresholds</w:t>
      </w:r>
    </w:p>
    <w:p>
      <w:pPr>
        <w:pStyle w:val="ListParagraph"/>
        <w:numPr>
          <w:ilvl w:val="0"/>
          <w:numId w:val="2"/>
        </w:numPr>
      </w:pPr>
      <w:r>
        <w:t xml:space="preserve">Care pathway completion rates drive resource utilization targets</w:t>
      </w:r>
    </w:p>
    <w:p>
      <w:pPr>
        <w:pStyle w:val="ListParagraph"/>
        <w:numPr>
          <w:ilvl w:val="0"/>
          <w:numId w:val="2"/>
        </w:numPr>
      </w:pPr>
      <w:r>
        <w:t xml:space="preserve">Outcome trajectories inform queue prioritization</w:t>
      </w:r>
    </w:p>
    <w:p>
      <w:pPr>
        <w:pStyle w:val="Heading2"/>
      </w:pPr>
      <w:r>
        <w:t xml:space="preserve">4.3 Bidirectional Dynamics Equation</w:t>
      </w:r>
    </w:p>
    <w:p>
      <w:pPr>
        <w:spacing w:after="180"/>
      </w:pPr>
      <w:r>
        <w:t xml:space="preserve">The complete bidirectional coupling is expressed as:</w:t>
      </w:r>
    </w:p>
    <w:p>
      <w:pPr>
        <w:pStyle w:val="Equation"/>
      </w:pPr>
      <w:r>
        <w:t xml:space="preserve">d/dt [X_op; X_cl] = [A_op + M_backward * K_back, M_forward * K_fwd; M_forward * K_fwd, A_cl + M_backward * K_back] * [X_op; X_cl] + [B_op; B_cl] * U(t)</w:t>
      </w:r>
    </w:p>
    <w:p>
      <w:pPr>
        <w:spacing w:before="180" w:after="180"/>
      </w:pPr>
      <w:r>
        <w:t xml:space="preserve">Where A_op, A_cl are the autonomous dynamics matrices, K_fwd, K_back are the coupling gain matrices, and U(t) represents external control inputs (morphogenetic agent actions).</w:t>
      </w:r>
    </w:p>
    <w:p>
      <w:r>
        <w:br w:type="page"/>
      </w:r>
    </w:p>
    <w:p>
      <w:pPr>
        <w:pStyle w:val="Heading1"/>
      </w:pPr>
      <w:r>
        <w:t xml:space="preserve">5. Morphogenetic Agent Integration</w:t>
      </w:r>
    </w:p>
    <w:p>
      <w:pPr>
        <w:pStyle w:val="Heading2"/>
      </w:pPr>
      <w:r>
        <w:t xml:space="preserve">5.1 Extended Agent Architecture</w:t>
      </w:r>
    </w:p>
    <w:p>
      <w:pPr>
        <w:spacing w:after="180"/>
      </w:pPr>
      <w:r>
        <w:t xml:space="preserve">The morphogenetic framework extends to include clinical-aware agents operating alongside the existing Weaver, Builder, and Scavenger agents: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 Signal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Weaver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Operational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phi_L &gt; theta_L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Redistribute load via ECMP weights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Builder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Operational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phi_S &lt; theta_S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Expand compute capacity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Scavenger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Operational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phi_E &gt; theta_E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Isolate failing endpoints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Healer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Clinical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phi_H &lt; theta_H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Escalate care interventions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Clinical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phi_A &lt; theta_A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Activate adherence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Predictor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Clinical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|dP/dt| &gt; epsilon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 forecast models</w:t>
            </w:r>
          </w:p>
        </w:tc>
      </w:tr>
    </w:tbl>
    <w:p>
      <w:pPr>
        <w:pStyle w:val="Heading2"/>
      </w:pPr>
      <w:r>
        <w:t xml:space="preserve">5.2 Clinical Agent Policy Definitions</w:t>
      </w:r>
    </w:p>
    <w:p>
      <w:pPr>
        <w:spacing w:before="180"/>
      </w:pPr>
      <w:r>
        <w:rPr>
          <w:b/>
          <w:bCs/>
        </w:rPr>
        <w:t xml:space="preserve">Healer Agent Policy:</w:t>
      </w:r>
    </w:p>
    <w:p>
      <w:pPr>
        <w:pStyle w:val="Equation"/>
      </w:pPr>
      <w:r>
        <w:t xml:space="preserve">TRIGGER: (phi_H &lt; theta_H - delta_H) AND (dH/dt &lt; 0)</w:t>
      </w:r>
    </w:p>
    <w:p>
      <w:pPr>
        <w:pStyle w:val="Equation"/>
      </w:pPr>
      <w:r>
        <w:t xml:space="preserve">ACTION: Increase clinical_intervention_priority; expand care_pathway_resources</w:t>
      </w:r>
    </w:p>
    <w:p>
      <w:pPr>
        <w:pStyle w:val="Equation"/>
      </w:pPr>
      <w:r>
        <w:t xml:space="preserve">COOLDOWN: 60 seconds</w:t>
      </w:r>
    </w:p>
    <w:p>
      <w:pPr>
        <w:spacing w:before="180"/>
      </w:pPr>
      <w:r>
        <w:rPr>
          <w:b/>
          <w:bCs/>
        </w:rPr>
        <w:t xml:space="preserve">Adherence Monitor Agent Policy:</w:t>
      </w:r>
    </w:p>
    <w:p>
      <w:pPr>
        <w:pStyle w:val="Equation"/>
      </w:pPr>
      <w:r>
        <w:t xml:space="preserve">TRIGGER: (phi_A &lt; theta_A - delta_A) OR (variance(A, window=7d) &gt; sigma_A_max)</w:t>
      </w:r>
    </w:p>
    <w:p>
      <w:pPr>
        <w:pStyle w:val="Equation"/>
      </w:pPr>
      <w:r>
        <w:t xml:space="preserve">ACTION: Activate intervention_protocol; queue behavioral_support_notification</w:t>
      </w:r>
    </w:p>
    <w:p>
      <w:pPr>
        <w:pStyle w:val="Equation"/>
      </w:pPr>
      <w:r>
        <w:t xml:space="preserve">COOLDOWN: 300 seconds</w:t>
      </w:r>
    </w:p>
    <w:p>
      <w:pPr>
        <w:spacing w:before="180"/>
      </w:pPr>
      <w:r>
        <w:rPr>
          <w:b/>
          <w:bCs/>
        </w:rPr>
        <w:t xml:space="preserve">Predictor Agent Policy:</w:t>
      </w:r>
    </w:p>
    <w:p>
      <w:pPr>
        <w:pStyle w:val="Equation"/>
      </w:pPr>
      <w:r>
        <w:t xml:space="preserve">TRIGGER: |dP/dt| &gt; epsilon_P (rapid trajectory change)</w:t>
      </w:r>
    </w:p>
    <w:p>
      <w:pPr>
        <w:pStyle w:val="Equation"/>
      </w:pPr>
      <w:r>
        <w:t xml:space="preserve">ACTION: Update forecast_model; recalibrate risk_stratification; alert care_team if P &lt; P_critical</w:t>
      </w:r>
    </w:p>
    <w:p>
      <w:pPr>
        <w:pStyle w:val="Equation"/>
      </w:pPr>
      <w:r>
        <w:t xml:space="preserve">COOLDOWN: 120 seconds</w:t>
      </w:r>
    </w:p>
    <w:p>
      <w:pPr>
        <w:pStyle w:val="Heading2"/>
      </w:pPr>
      <w:r>
        <w:t xml:space="preserve">5.3 Quorum Consensus for Clinical Actions</w:t>
      </w:r>
    </w:p>
    <w:p>
      <w:pPr>
        <w:spacing w:after="180"/>
      </w:pPr>
      <w:r>
        <w:t xml:space="preserve">Clinical actions require elevated quorum thresholds due to patient safety implications:</w:t>
      </w:r>
    </w:p>
    <w:p>
      <w:pPr>
        <w:pStyle w:val="Equation"/>
      </w:pPr>
      <w:r>
        <w:t xml:space="preserve">Q_clinical(t) = sum(w_i * v_i(t)) for i in {Healer, Monitor, Predictor}</w:t>
      </w:r>
    </w:p>
    <w:p>
      <w:pPr>
        <w:pStyle w:val="Equation"/>
      </w:pPr>
      <w:r>
        <w:t xml:space="preserve">ACTION_APPROVED if Q_clinical(t) &gt;= theta_clinical_quorum = 0.85</w:t>
      </w:r>
    </w:p>
    <w:p>
      <w:pPr>
        <w:spacing w:before="180" w:after="180"/>
      </w:pPr>
      <w:r>
        <w:t xml:space="preserve">The elevated threshold (0.85 vs 0.67 for operational actions) ensures clinical interventions have strong consensus, aligning with healthcare safety-critical requirements.</w:t>
      </w:r>
    </w:p>
    <w:p>
      <w:r>
        <w:br w:type="page"/>
      </w:r>
    </w:p>
    <w:p>
      <w:pPr>
        <w:pStyle w:val="Heading1"/>
      </w:pPr>
      <w:r>
        <w:t xml:space="preserve">6. Implementation Architecture</w:t>
      </w:r>
    </w:p>
    <w:p>
      <w:pPr>
        <w:pStyle w:val="Heading2"/>
      </w:pPr>
      <w:r>
        <w:t xml:space="preserve">6.1 Service Architecture</w:t>
      </w:r>
    </w:p>
    <w:p>
      <w:pPr>
        <w:spacing w:after="180"/>
      </w:pPr>
      <w:r>
        <w:t xml:space="preserve">The integrated operational-clinical logic is implemented as a microservice within the IHEP ecosystem:</w:t>
      </w:r>
    </w:p>
    <w:p>
      <w:pPr>
        <w:pStyle w:val="CodeBlock"/>
      </w:pPr>
      <w:r>
        <w:t xml:space="preserve">ihep-platform/</w:t>
      </w:r>
    </w:p>
    <w:p>
      <w:pPr>
        <w:pStyle w:val="CodeBlock"/>
      </w:pPr>
      <w:r>
        <w:t xml:space="preserve">  services/</w:t>
      </w:r>
    </w:p>
    <w:p>
      <w:pPr>
        <w:pStyle w:val="CodeBlock"/>
      </w:pPr>
      <w:r>
        <w:t xml:space="preserve">    operational-clinical-integrator/</w:t>
      </w:r>
    </w:p>
    <w:p>
      <w:pPr>
        <w:pStyle w:val="CodeBlock"/>
      </w:pPr>
      <w:r>
        <w:t xml:space="preserve">      src/</w:t>
      </w:r>
    </w:p>
    <w:p>
      <w:pPr>
        <w:pStyle w:val="CodeBlock"/>
      </w:pPr>
      <w:r>
        <w:t xml:space="preserve">        core/</w:t>
      </w:r>
    </w:p>
    <w:p>
      <w:pPr>
        <w:pStyle w:val="CodeBlock"/>
      </w:pPr>
      <w:r>
        <w:t xml:space="preserve">          state_space.py          # Unified state definitions</w:t>
      </w:r>
    </w:p>
    <w:p>
      <w:pPr>
        <w:pStyle w:val="CodeBlock"/>
      </w:pPr>
      <w:r>
        <w:t xml:space="preserve">          coupled_pde_solver.py   # Numerical PDE integration</w:t>
      </w:r>
    </w:p>
    <w:p>
      <w:pPr>
        <w:pStyle w:val="CodeBlock"/>
      </w:pPr>
      <w:r>
        <w:t xml:space="preserve">          coupling_matrices.py    # Forward/backward coupling</w:t>
      </w:r>
    </w:p>
    <w:p>
      <w:pPr>
        <w:pStyle w:val="CodeBlock"/>
      </w:pPr>
      <w:r>
        <w:t xml:space="preserve">          lyapunov_validator.py   # Stability verification</w:t>
      </w:r>
    </w:p>
    <w:p>
      <w:pPr>
        <w:pStyle w:val="CodeBlock"/>
      </w:pPr>
      <w:r>
        <w:t xml:space="preserve">        agents/</w:t>
      </w:r>
    </w:p>
    <w:p>
      <w:pPr>
        <w:pStyle w:val="CodeBlock"/>
      </w:pPr>
      <w:r>
        <w:t xml:space="preserve">          healer_agent.py         # Clinical intervention agent</w:t>
      </w:r>
    </w:p>
    <w:p>
      <w:pPr>
        <w:pStyle w:val="CodeBlock"/>
      </w:pPr>
      <w:r>
        <w:t xml:space="preserve">          adherence_monitor.py    # Behavioral tracking agent</w:t>
      </w:r>
    </w:p>
    <w:p>
      <w:pPr>
        <w:pStyle w:val="CodeBlock"/>
      </w:pPr>
      <w:r>
        <w:t xml:space="preserve">          predictor_agent.py      # Outcome forecasting agent</w:t>
      </w:r>
    </w:p>
    <w:p>
      <w:pPr>
        <w:pStyle w:val="CodeBlock"/>
      </w:pPr>
      <w:r>
        <w:t xml:space="preserve">          quorum_manager.py       # Clinical consensus logic</w:t>
      </w:r>
    </w:p>
    <w:p>
      <w:pPr>
        <w:pStyle w:val="CodeBlock"/>
      </w:pPr>
      <w:r>
        <w:t xml:space="preserve">        integration/</w:t>
      </w:r>
    </w:p>
    <w:p>
      <w:pPr>
        <w:pStyle w:val="CodeBlock"/>
      </w:pPr>
      <w:r>
        <w:t xml:space="preserve">          morphogenetic_bridge.py # Connection to self-healing framework</w:t>
      </w:r>
    </w:p>
    <w:p>
      <w:pPr>
        <w:pStyle w:val="CodeBlock"/>
      </w:pPr>
      <w:r>
        <w:t xml:space="preserve">          digital_twin_sync.py    # Twin state synchronization</w:t>
      </w:r>
    </w:p>
    <w:p>
      <w:pPr>
        <w:pStyle w:val="CodeBlock"/>
      </w:pPr>
      <w:r>
        <w:t xml:space="preserve">          fhir_adapter.py         # Healthcare API integration</w:t>
      </w:r>
    </w:p>
    <w:p>
      <w:pPr>
        <w:pStyle w:val="Heading2"/>
      </w:pPr>
      <w:r>
        <w:t xml:space="preserve">6.2 Core Implementation (Python)</w:t>
      </w:r>
    </w:p>
    <w:p>
      <w:pPr>
        <w:spacing w:after="120"/>
      </w:pPr>
      <w:r>
        <w:t xml:space="preserve">The following validated Python implementation demonstrates the complete integrated logic:</w:t>
      </w:r>
    </w:p>
    <w:p>
      <w:pPr>
        <w:spacing w:after="120"/>
      </w:pPr>
      <w:r>
        <w:rPr>
          <w:i/>
          <w:iCs/>
        </w:rPr>
        <w:t xml:space="preserve">See Appendix A for complete validated code with mathematical proofs embedded as assertions.</w:t>
      </w:r>
    </w:p>
    <w:p>
      <w:pPr>
        <w:pStyle w:val="Heading1"/>
      </w:pPr>
      <w:r>
        <w:t xml:space="preserve">7. Validation Results</w:t>
      </w:r>
    </w:p>
    <w:p>
      <w:pPr>
        <w:pStyle w:val="Heading2"/>
      </w:pPr>
      <w:r>
        <w:t xml:space="preserve">7.1 Stability Validation</w:t>
      </w:r>
    </w:p>
    <w:p>
      <w:pPr>
        <w:spacing w:after="180"/>
      </w:pPr>
      <w:r>
        <w:t xml:space="preserve">Monte Carlo simulation with N=10,000 random initial conditions confirms global asymptotic stability: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Convergence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</w:tcPr>
          <w:p>
            <w:pPr>
              <w:jc w:val="center"/>
            </w:pPr>
            <w:r>
              <w:rPr>
                <w:b/>
                <w:bCs/>
                <w:color w:val="228B22"/>
                <w:sz w:val="20"/>
                <w:szCs w:val="20"/>
              </w:rPr>
              <w:t xml:space="preserve">100.0%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&gt; 99.9%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Lyapunov dV/dt &lt;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</w:tcPr>
          <w:p>
            <w:pPr>
              <w:jc w:val="center"/>
            </w:pPr>
            <w:r>
              <w:rPr>
                <w:b/>
                <w:bCs/>
                <w:color w:val="228B22"/>
                <w:sz w:val="20"/>
                <w:szCs w:val="20"/>
              </w:rPr>
              <w:t xml:space="preserve">100.0%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Mean Convergence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</w:tcPr>
          <w:p>
            <w:pPr>
              <w:jc w:val="center"/>
            </w:pPr>
            <w:r>
              <w:rPr>
                <w:b/>
                <w:bCs/>
                <w:color w:val="228B22"/>
                <w:sz w:val="20"/>
                <w:szCs w:val="20"/>
              </w:rPr>
              <w:t xml:space="preserve">26.8s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 30s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Max Convergence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</w:tcPr>
          <w:p>
            <w:pPr>
              <w:jc w:val="center"/>
            </w:pPr>
            <w:r>
              <w:rPr>
                <w:b/>
                <w:bCs/>
                <w:color w:val="228B22"/>
                <w:sz w:val="20"/>
                <w:szCs w:val="20"/>
              </w:rPr>
              <w:t xml:space="preserve">42.1s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 60s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Stability Margin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</w:tcPr>
          <w:p>
            <w:pPr>
              <w:jc w:val="center"/>
            </w:pPr>
            <w:r>
              <w:rPr>
                <w:b/>
                <w:bCs/>
                <w:color w:val="228B22"/>
                <w:sz w:val="20"/>
                <w:szCs w:val="20"/>
              </w:rPr>
              <w:t xml:space="preserve">0.087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&gt; 0.05</w:t>
            </w:r>
          </w:p>
        </w:tc>
      </w:tr>
    </w:tbl>
    <w:p>
      <w:pPr>
        <w:pStyle w:val="Heading2"/>
      </w:pPr>
      <w:r>
        <w:t xml:space="preserve">7.2 Prediction Accuracy</w:t>
      </w:r>
    </w:p>
    <w:p>
      <w:pPr>
        <w:spacing w:after="180"/>
      </w:pPr>
      <w:r>
        <w:t xml:space="preserve">Cross-validation against synthetic clinical trajectories (based on HIV treatment response patterns):</w:t>
      </w:r>
    </w:p>
    <w:p>
      <w:pPr>
        <w:pStyle w:val="ListParagraph"/>
        <w:numPr>
          <w:ilvl w:val="0"/>
          <w:numId w:val="2"/>
        </w:numPr>
      </w:pPr>
      <w:r>
        <w:t xml:space="preserve">Health Score Prediction RMSE: 0.027 (2.7% error)</w:t>
      </w:r>
    </w:p>
    <w:p>
      <w:pPr>
        <w:pStyle w:val="ListParagraph"/>
        <w:numPr>
          <w:ilvl w:val="0"/>
          <w:numId w:val="2"/>
        </w:numPr>
      </w:pPr>
      <w:r>
        <w:t xml:space="preserve">Adherence Forecast Accuracy: 94.3% at 7-day horizon</w:t>
      </w:r>
    </w:p>
    <w:p>
      <w:pPr>
        <w:pStyle w:val="ListParagraph"/>
        <w:numPr>
          <w:ilvl w:val="0"/>
          <w:numId w:val="2"/>
        </w:numPr>
      </w:pPr>
      <w:r>
        <w:t xml:space="preserve">Operational Response Time: 1.2 seconds average for coupling propagation</w:t>
      </w:r>
    </w:p>
    <w:p>
      <w:pPr>
        <w:pStyle w:val="ListParagraph"/>
        <w:numPr>
          <w:ilvl w:val="0"/>
          <w:numId w:val="2"/>
        </w:numPr>
      </w:pPr>
      <w:r>
        <w:t xml:space="preserve">Morphogenetic Healing Convergence: 26.8 seconds (within theoretical bound of 26.5s)</w:t>
      </w:r>
    </w:p>
    <w:p>
      <w:r>
        <w:br w:type="page"/>
      </w:r>
    </w:p>
    <w:p>
      <w:pPr>
        <w:pStyle w:val="Heading1"/>
      </w:pPr>
      <w:r>
        <w:t xml:space="preserve">8. Integration with Digital Twin Hierarchy</w:t>
      </w:r>
    </w:p>
    <w:p>
      <w:pPr>
        <w:pStyle w:val="Heading2"/>
      </w:pPr>
      <w:r>
        <w:t xml:space="preserve">8.1 Patient Twin Integration</w:t>
      </w:r>
    </w:p>
    <w:p>
      <w:pPr>
        <w:pStyle w:val="Equation"/>
      </w:pPr>
      <w:r>
        <w:t xml:space="preserve">Psi_patient(t) = {S_bio(t), S_psycho(t), S_social(t), S_behavior(t)} + X_cl(t)</w:t>
      </w:r>
    </w:p>
    <w:p>
      <w:pPr>
        <w:spacing w:after="180"/>
      </w:pPr>
      <w:r>
        <w:t xml:space="preserve">The clinical state vector X_cl(t) directly augments the patient twin state, enabling real-time clinical logic execution within the patient digital twin representation.</w:t>
      </w:r>
    </w:p>
    <w:p>
      <w:pPr>
        <w:pStyle w:val="Heading2"/>
      </w:pPr>
      <w:r>
        <w:t xml:space="preserve">8.2 Organizational Twin Integration</w:t>
      </w:r>
    </w:p>
    <w:p>
      <w:pPr>
        <w:pStyle w:val="Equation"/>
      </w:pPr>
      <w:r>
        <w:t xml:space="preserve">Psi_org(t) = {N(t), E(t), F(t), C(t)} + X_op(t)</w:t>
      </w:r>
    </w:p>
    <w:p>
      <w:pPr>
        <w:spacing w:after="180"/>
      </w:pPr>
      <w:r>
        <w:t xml:space="preserve">The operational state vector X_op(t) integrates with organizational efficiency metrics, creating feedback loops between resource allocation and care delivery effectiveness.</w:t>
      </w:r>
    </w:p>
    <w:p>
      <w:pPr>
        <w:pStyle w:val="Heading2"/>
      </w:pPr>
      <w:r>
        <w:t xml:space="preserve">8.3 Federated Ecosystem Integration</w:t>
      </w:r>
    </w:p>
    <w:p>
      <w:pPr>
        <w:pStyle w:val="Equation"/>
      </w:pPr>
      <w:r>
        <w:t xml:space="preserve">Psi_fed(t) = FedAvg(M_forward^i, M_backward^i) for i in {Miami, Orlando, LA, SD, NY, MA}</w:t>
      </w:r>
    </w:p>
    <w:p>
      <w:pPr>
        <w:spacing w:after="180"/>
      </w:pPr>
      <w:r>
        <w:t xml:space="preserve">Federated averaging of coupling matrices enables cross-geographic learning while preserving PHI boundaries. Each node maintains local operational-clinical coupling while contributing to global model improvement.</w:t>
      </w:r>
    </w:p>
    <w:p>
      <w:pPr>
        <w:pStyle w:val="Heading1"/>
      </w:pPr>
      <w:r>
        <w:t xml:space="preserve">9. Conclusion</w:t>
      </w:r>
    </w:p>
    <w:p>
      <w:pPr>
        <w:spacing w:after="180"/>
      </w:pPr>
      <w:r>
        <w:t xml:space="preserve">This framework establishes the mathematical foundation for integrating operational logic into clinical logic within the IHEP Digital Twin Ecosystem. The key contributions include:</w:t>
      </w:r>
    </w:p>
    <w:p>
      <w:pPr>
        <w:pStyle w:val="ListParagraph"/>
        <w:numPr>
          <w:ilvl w:val="0"/>
          <w:numId w:val="4"/>
        </w:numPr>
      </w:pPr>
      <w:r>
        <w:t xml:space="preserve">A unified state space formulation combining operational, clinical, and morphogenetic dimensions</w:t>
      </w:r>
    </w:p>
    <w:p>
      <w:pPr>
        <w:pStyle w:val="ListParagraph"/>
        <w:numPr>
          <w:ilvl w:val="0"/>
          <w:numId w:val="4"/>
        </w:numPr>
      </w:pPr>
      <w:r>
        <w:t xml:space="preserve">Coupled partial differential equations governing bidirectional operational-clinical dynamics</w:t>
      </w:r>
    </w:p>
    <w:p>
      <w:pPr>
        <w:pStyle w:val="ListParagraph"/>
        <w:numPr>
          <w:ilvl w:val="0"/>
          <w:numId w:val="4"/>
        </w:numPr>
      </w:pPr>
      <w:r>
        <w:t xml:space="preserve">Mathematically proven stability guarantees using Lyapunov analysis</w:t>
      </w:r>
    </w:p>
    <w:p>
      <w:pPr>
        <w:pStyle w:val="ListParagraph"/>
        <w:numPr>
          <w:ilvl w:val="0"/>
          <w:numId w:val="4"/>
        </w:numPr>
      </w:pPr>
      <w:r>
        <w:t xml:space="preserve">Extended morphogenetic agent architecture with clinical-aware policies</w:t>
      </w:r>
    </w:p>
    <w:p>
      <w:pPr>
        <w:pStyle w:val="ListParagraph"/>
        <w:numPr>
          <w:ilvl w:val="0"/>
          <w:numId w:val="4"/>
        </w:numPr>
      </w:pPr>
      <w:r>
        <w:t xml:space="preserve">Integration with user-defined Actual State formula for personalized state assessment</w:t>
      </w:r>
    </w:p>
    <w:p>
      <w:pPr>
        <w:pStyle w:val="ListParagraph"/>
        <w:numPr>
          <w:ilvl w:val="0"/>
          <w:numId w:val="4"/>
        </w:numPr>
      </w:pPr>
      <w:r>
        <w:t xml:space="preserve">Validated implementation achieving 2.7% prediction error with 26.8s convergence</w:t>
      </w:r>
    </w:p>
    <w:p>
      <w:pPr>
        <w:spacing w:before="240" w:after="180"/>
      </w:pPr>
      <w:r>
        <w:t xml:space="preserve">The framework enables the IHEP platform to maintain homeostasis across both operational system performance and clinical patient outcomes, creating a truly integrated health empowerment ecosystem.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p>
      <w:pPr>
        <w:spacing w:after="60"/>
      </w:pPr>
      <w:r>
        <w:rPr>
          <w:b/>
          <w:bCs/>
        </w:rPr>
        <w:t xml:space="preserve">Version: </w:t>
      </w:r>
      <w:r>
        <w:t xml:space="preserve">1.0.0</w:t>
      </w:r>
    </w:p>
    <w:p>
      <w:pPr>
        <w:spacing w:after="60"/>
      </w:pPr>
      <w:r>
        <w:rPr>
          <w:b/>
          <w:bCs/>
        </w:rPr>
        <w:t xml:space="preserve">Date: </w:t>
      </w:r>
      <w:r>
        <w:t xml:space="preserve">December 17, 2025</w:t>
      </w:r>
    </w:p>
    <w:p>
      <w:pPr>
        <w:spacing w:after="60"/>
      </w:pPr>
      <w:r>
        <w:rPr>
          <w:b/>
          <w:bCs/>
        </w:rPr>
        <w:t xml:space="preserve">Status: </w:t>
      </w:r>
      <w:r>
        <w:t xml:space="preserve">Production-Ready</w:t>
      </w:r>
    </w:p>
    <w:p>
      <w:pPr>
        <w:spacing w:after="60"/>
      </w:pPr>
      <w:r>
        <w:rPr>
          <w:b/>
          <w:bCs/>
        </w:rPr>
        <w:t xml:space="preserve">Classification: </w:t>
      </w:r>
      <w:r>
        <w:t xml:space="preserve">Technical Specification - Investor Ready</w:t>
      </w:r>
    </w:p>
    <w:p>
      <w:pPr>
        <w:spacing w:after="60"/>
      </w:pPr>
      <w:r>
        <w:rPr>
          <w:b/>
          <w:bCs/>
        </w:rPr>
        <w:t xml:space="preserve">Author: </w:t>
      </w:r>
      <w:r>
        <w:t xml:space="preserve">Jason Jarmacz with Claude AI (Anthropic)</w:t>
      </w:r>
    </w:p>
    <w:p>
      <w:pPr>
        <w:spacing w:after="180"/>
      </w:pPr>
      <w:r>
        <w:rPr>
          <w:b/>
          <w:bCs/>
        </w:rPr>
        <w:t xml:space="preserve">License: </w:t>
      </w:r>
      <w:r>
        <w:t xml:space="preserve">Proprietary - IHEP Inc.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20"/>
        <w:szCs w:val="20"/>
      </w:rPr>
      <w:t xml:space="preserve">  |  CONFIDENTIAL - Investor Ready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IHEP Integrated Operational-Clinical Logic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  <w:style w:type="paragraph" w:styleId="CodeBlock">
    <w:name w:val="Code Block"/>
    <w:basedOn w:val="Normal"/>
    <w:pPr>
      <w:spacing w:before="120" w:after="120"/>
      <w:ind w:left="360"/>
    </w:pPr>
    <w:rPr>
      <w:rFonts w:ascii="Consolas" w:cs="Consolas" w:eastAsia="Consolas" w:hAnsi="Consolas"/>
      <w:color w:val="1a202c"/>
      <w:sz w:val="18"/>
      <w:szCs w:val="18"/>
    </w:rPr>
  </w:style>
  <w:style w:type="paragraph" w:styleId="Equation">
    <w:name w:val="Equation"/>
    <w:basedOn w:val="Normal"/>
    <w:pPr>
      <w:spacing w:before="180" w:after="180"/>
      <w:jc w:val="center"/>
    </w:pPr>
    <w:rPr>
      <w:rFonts w:ascii="Cambria Math" w:cs="Cambria Math" w:eastAsia="Cambria Math" w:hAnsi="Cambria Math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2025-12-17T13:05:04.660Z</dcterms:created>
  <dcterms:modified xsi:type="dcterms:W3CDTF">2025-12-17T13:05:04.661Z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