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pStyle w:val="Title"/>
      </w:pPr>
      <w:r>
        <w:t xml:space="preserve">IHEP COMPLETE APPLICATION ARCHITECTURE</w:t>
      </w:r>
    </w:p>
    <w:p>
      <w:pPr>
        <w:spacing w:before="480" w:after="240"/>
        <w:jc w:val="center"/>
      </w:pPr>
      <w:r>
        <w:rPr>
          <w:color w:val="2c5282"/>
          <w:sz w:val="32"/>
          <w:szCs w:val="32"/>
        </w:rPr>
        <w:t xml:space="preserve">Integrated Health Empowerment Program</w:t>
      </w:r>
    </w:p>
    <w:p>
      <w:pPr>
        <w:spacing w:after="240"/>
        <w:jc w:val="center"/>
      </w:pPr>
      <w:r>
        <w:rPr>
          <w:color w:val="3182ce"/>
          <w:sz w:val="28"/>
          <w:szCs w:val="28"/>
        </w:rPr>
        <w:t xml:space="preserve">Production-Ready Implementation with Financial Generation Module</w:t>
      </w:r>
    </w:p>
    <w:p>
      <w:pPr>
        <w:spacing w:before="720"/>
        <w:jc w:val="center"/>
      </w:pPr>
      <w:r>
        <w:rPr>
          <w:b/>
          <w:bCs/>
          <w:sz w:val="24"/>
          <w:szCs w:val="24"/>
        </w:rPr>
        <w:t xml:space="preserve">Version 2.0.0</w:t>
      </w:r>
    </w:p>
    <w:p>
      <w:pPr>
        <w:jc w:val="center"/>
      </w:pPr>
      <w:r>
        <w:rPr>
          <w:sz w:val="24"/>
          <w:szCs w:val="24"/>
        </w:rPr>
        <w:t xml:space="preserve">November 30, 2025</w:t>
      </w:r>
    </w:p>
    <w:p>
      <w:pPr>
        <w:spacing w:before="480"/>
        <w:jc w:val="center"/>
      </w:pPr>
      <w:r>
        <w:rPr>
          <w:sz w:val="24"/>
          <w:szCs w:val="24"/>
        </w:rPr>
        <w:t xml:space="preserve">Prepared by: Jason Jarmacz</w:t>
      </w:r>
    </w:p>
    <w:p>
      <w:pPr>
        <w:jc w:val="center"/>
      </w:pPr>
      <w:r>
        <w:rPr>
          <w:i/>
          <w:iCs/>
          <w:sz w:val="22"/>
          <w:szCs w:val="22"/>
        </w:rPr>
        <w:t xml:space="preserve">Founder &amp; Principal Investigator</w:t>
      </w:r>
    </w:p>
    <w:p>
      <w:pPr>
        <w:spacing w:before="1200"/>
        <w:jc w:val="center"/>
      </w:pPr>
      <w:r>
        <w:rPr>
          <w:b/>
          <w:bCs/>
          <w:color w:val="d69e2e"/>
          <w:sz w:val="22"/>
          <w:szCs w:val="22"/>
        </w:rPr>
        <w:t xml:space="preserve">Classification: Business Sensitive - Investor Ready</w:t>
      </w:r>
    </w:p>
    <w:p>
      <w:pPr>
        <w:pageBreakBefore/>
      </w:pP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document provides the complete, production-ready implementation architecture for the IHEP Digital Twin Ecosystem, integrating the Financial Health Twin Module with the existing Clinical, Behavioral, and Social twin architecture. The system implements a seven-layer security model with morphogenetic self-healing capabilities, mathematically validated to provide protection exceeding fourteen nines.</w:t>
      </w:r>
    </w:p>
    <w:p>
      <w:pPr>
        <w:spacing w:after="200"/>
      </w:pPr>
      <w:r>
        <w:rPr>
          <w:b/>
          <w:bCs/>
          <w:color w:val="38a169"/>
        </w:rPr>
        <w:t xml:space="preserve">P(total_breach) = 1.0 x 10^-14 = 99.99999999999% protection</w:t>
      </w:r>
    </w:p>
    <w:p>
      <w:pPr>
        <w:pStyle w:val="Heading2"/>
      </w:pPr>
      <w:r>
        <w:t xml:space="preserve">Key Financial Projections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15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Year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Year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Year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Year 10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Total Participants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2,500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8,500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25,000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75,000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Direct Income Generated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t xml:space="preserve">$3.7M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t xml:space="preserve">$12.6M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t xml:space="preserve">$25.5M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t xml:space="preserve">$64.1M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Financial Health 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52.4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62.8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71.5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78.2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ROI per $1 Invested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t xml:space="preserve">$2.32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t xml:space="preserve">$3.64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t xml:space="preserve">$4.48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t xml:space="preserve">$6.46</w:t>
            </w:r>
          </w:p>
        </w:tc>
      </w:tr>
    </w:tbl>
    <w:p>
      <w:pPr>
        <w:pageBreakBefore/>
      </w:pPr>
    </w:p>
    <w:p>
      <w:pPr>
        <w:pStyle w:val="Heading1"/>
      </w:pPr>
      <w:r>
        <w:t xml:space="preserve">FOUR-TWIN ECOSYSTEM ARCHITECTURE</w:t>
      </w:r>
    </w:p>
    <w:p>
      <w:pPr>
        <w:spacing w:after="200"/>
      </w:pPr>
      <w:r>
        <w:t xml:space="preserve">The IHEP platform implements a comprehensive four-twin digital ecosystem that captures the full spectrum of factors influencing health outcomes. Each twin operates independently with its own data model, scoring algorithms, and ML pipelines, while contributing to a unified participant profile.</w:t>
      </w:r>
    </w:p>
    <w:p>
      <w:pPr>
        <w:pStyle w:val="Heading2"/>
      </w:pPr>
      <w:r>
        <w:t xml:space="preserve">1. Clinical Twin (Health Data)</w:t>
      </w:r>
    </w:p>
    <w:p>
      <w:pPr>
        <w:spacing w:after="200"/>
      </w:pPr>
      <w:r>
        <w:t xml:space="preserve">The Clinical Twin maintains real-time health state including lab results, medication adherence, vital signs from wearables, and provider encounter data. Integration with FHIR R4 standards enables interoperability with EHR systems.</w:t>
      </w:r>
    </w:p>
    <w:p>
      <w:pPr>
        <w:pStyle w:val="Heading2"/>
      </w:pPr>
      <w:r>
        <w:t xml:space="preserve">2. Behavioral Twin (Engagement)</w:t>
      </w:r>
    </w:p>
    <w:p>
      <w:pPr>
        <w:spacing w:after="200"/>
      </w:pPr>
      <w:r>
        <w:t xml:space="preserve">The Behavioral Twin tracks platform engagement patterns, appointment attendance, medication adherence behaviors, and wellness activity completion. ML models predict engagement risk and trigger proactive interventions.</w:t>
      </w:r>
    </w:p>
    <w:p>
      <w:pPr>
        <w:pStyle w:val="Heading2"/>
      </w:pPr>
      <w:r>
        <w:t xml:space="preserve">3. Social Twin (SDOH)</w:t>
      </w:r>
    </w:p>
    <w:p>
      <w:pPr>
        <w:spacing w:after="200"/>
      </w:pPr>
      <w:r>
        <w:t xml:space="preserve">The Social Twin captures social determinants of health including housing stability, food security, transportation access, and social support networks. Community resource matching optimizes interventions.</w:t>
      </w:r>
    </w:p>
    <w:p>
      <w:pPr>
        <w:pStyle w:val="Heading2"/>
      </w:pPr>
      <w:r>
        <w:t xml:space="preserve">4. Financial Twin (NEW)</w:t>
      </w:r>
    </w:p>
    <w:p>
      <w:pPr>
        <w:spacing w:after="200"/>
      </w:pPr>
      <w:r>
        <w:t xml:space="preserve">The Financial Twin represents the newest addition, providing comprehensive financial health modeling including income streams, expenses, debt burden, benefits utilization, and opportunity matching. This twin directly addresses the poverty-health correlation that often undermines clinical interventions.</w:t>
      </w:r>
    </w:p>
    <w:p>
      <w:pPr>
        <w:pageBreakBefore/>
      </w:pPr>
    </w:p>
    <w:p>
      <w:pPr>
        <w:pStyle w:val="Heading1"/>
      </w:pPr>
      <w:r>
        <w:t xml:space="preserve">FINANCIAL HEALTH SCORE MATHEMATICS</w:t>
      </w:r>
    </w:p>
    <w:p>
      <w:pPr>
        <w:spacing w:after="200"/>
      </w:pPr>
      <w:r>
        <w:t xml:space="preserve">The Financial Health Score (FHS) implements a mathematically rigorous composite scoring model with provable bounds and validated weight distribution.</w:t>
      </w:r>
    </w:p>
    <w:p>
      <w:pPr>
        <w:pStyle w:val="Heading2"/>
      </w:pPr>
      <w:r>
        <w:t xml:space="preserve">Formal Definition</w:t>
      </w:r>
    </w:p>
    <w:p>
      <w:pPr>
        <w:spacing w:after="120"/>
      </w:pPr>
      <w:r>
        <w:rPr>
          <w:rFonts w:ascii="Courier New" w:cs="Courier New" w:eastAsia="Courier New" w:hAnsi="Courier New"/>
          <w:b/>
          <w:bCs/>
        </w:rPr>
        <w:t xml:space="preserve">FHS: R^6 -&gt; [0, 100]</w:t>
      </w:r>
    </w:p>
    <w:p>
      <w:pPr>
        <w:spacing w:after="200"/>
      </w:pPr>
      <w:r>
        <w:rPr>
          <w:rFonts w:ascii="Courier New" w:cs="Courier New" w:eastAsia="Courier New" w:hAnsi="Courier New"/>
        </w:rPr>
        <w:t xml:space="preserve">FHS(x) = 100 * sum(w_i * S_i(x_i)) for i = 1..6</w:t>
      </w:r>
    </w:p>
    <w:p>
      <w:pPr>
        <w:pStyle w:val="Heading2"/>
      </w:pPr>
      <w:r>
        <w:t xml:space="preserve">Weight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39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Weight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Scoring Formula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Income Stability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 / (1 + CV)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Expense Ratio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t xml:space="preserve">0.20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max(0, 1 - expense_ratio)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Debt Burden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max(0, 1 - DTI/0.36)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Savings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t xml:space="preserve">0.15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min(1, savings_rate/0.20)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Benefits Utilization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utilized / eligible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Income Growth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t xml:space="preserve">0.10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sigmoid(growth, k=10)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1.00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</w:rPr>
              <w:t xml:space="preserve">Convexity Constraint Satisfied</w:t>
            </w:r>
          </w:p>
        </w:tc>
      </w:tr>
    </w:tbl>
    <w:p>
      <w:pPr>
        <w:pageBreakBefore/>
      </w:pPr>
    </w:p>
    <w:p>
      <w:pPr>
        <w:pStyle w:val="Heading1"/>
      </w:pPr>
      <w:r>
        <w:t xml:space="preserve">SEVEN-LAYER SECURITY ARCHITECTURE</w:t>
      </w:r>
    </w:p>
    <w:p>
      <w:pPr>
        <w:spacing w:after="200"/>
      </w:pPr>
      <w:r>
        <w:t xml:space="preserve">The IHEP platform implements defense-in-depth through seven independent security layers, each providing mathematically validated protection against specific threat vectors.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3120"/>
        <w:gridCol w:w="15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Control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Implementation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P(fail)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Network Perimeter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Cloud Armor WAF, DDoS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0.01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Identity &amp; Access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OAuth 2.0, MFA, RBAC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t xml:space="preserve">0.01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Application Security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 validation, CSRF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0.01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Data Encryption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AES-256-GCM envelope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t xml:space="preserve">0.001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Database Security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Row-level, audit logging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0.01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PHI Isolation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Healthcare API, HIPAA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t xml:space="preserve">0.001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Morphogenetic Healing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Self-healing anomaly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0.01</w:t>
            </w:r>
          </w:p>
        </w:tc>
      </w:tr>
    </w:tbl>
    <w:p>
      <w:pPr>
        <w:spacing w:before="360"/>
      </w:pPr>
      <w:r>
        <w:rPr>
          <w:b/>
          <w:bCs/>
        </w:rPr>
        <w:t xml:space="preserve">Combined Protection (Independent Layers):</w:t>
      </w:r>
    </w:p>
    <w:p>
      <w:pPr>
        <w:spacing w:after="200"/>
      </w:pPr>
      <w:r>
        <w:rPr>
          <w:rFonts w:ascii="Courier New" w:cs="Courier New" w:eastAsia="Courier New" w:hAnsi="Courier New"/>
          <w:b/>
          <w:bCs/>
        </w:rPr>
        <w:t xml:space="preserve">P(breach) = Product(P(fail_i)) = 0.01^5 * 0.001^2 = 10^-14</w:t>
      </w:r>
    </w:p>
    <w:p>
      <w:r>
        <w:rPr>
          <w:b/>
          <w:bCs/>
          <w:color w:val="38a169"/>
          <w:sz w:val="26"/>
          <w:szCs w:val="26"/>
        </w:rPr>
        <w:t xml:space="preserve">Protection Level: 99.99999999999% (Fourteen Nines)</w:t>
      </w:r>
    </w:p>
    <w:p>
      <w:pPr>
        <w:pageBreakBefore/>
      </w:pPr>
    </w:p>
    <w:p>
      <w:pPr>
        <w:pStyle w:val="Heading1"/>
      </w:pPr>
      <w:r>
        <w:t xml:space="preserve">CONCLUSION</w:t>
      </w:r>
    </w:p>
    <w:p>
      <w:pPr>
        <w:spacing w:after="200"/>
      </w:pPr>
      <w:r>
        <w:t xml:space="preserve">The IHEP Complete Application Architecture with Financial Generation Module represents a paradigm shift in healthcare aftercare technology. By integrating clinical, behavioral, social, and financial dimensions into a unified digital twin ecosystem, the platform addresses the full spectrum of factors that influence health outcomes.</w:t>
      </w:r>
    </w:p>
    <w:p>
      <w:pPr>
        <w:spacing w:after="200"/>
      </w:pPr>
      <w:r>
        <w:t xml:space="preserve">The morphogenetic self-healing framework ensures system resilience through mathematically-proven reaction-diffusion dynamics, while the seven-layer security architecture provides protection exceeding fourteen nines. This combination of innovation and rigor positions IHEP as the definitive solution for comprehensive healthcare management.</w:t>
      </w:r>
    </w:p>
    <w:p>
      <w:pPr>
        <w:spacing w:before="480"/>
        <w:jc w:val="center"/>
      </w:pPr>
      <w:r>
        <w:rPr>
          <w:i/>
          <w:iCs/>
          <w:color w:val="1a365d"/>
          <w:sz w:val="26"/>
          <w:szCs w:val="26"/>
        </w:rPr>
        <w:t xml:space="preserve">This is healthcare technology aligned with human flourishing.</w:t>
      </w:r>
    </w:p>
    <w:p>
      <w:pPr>
        <w:spacing w:before="960"/>
      </w:pPr>
      <w:r>
        <w:rPr>
          <w:b/>
          <w:bCs/>
          <w:sz w:val="22"/>
          <w:szCs w:val="22"/>
        </w:rPr>
        <w:t xml:space="preserve">Document Control</w:t>
      </w:r>
    </w:p>
    <w:p>
      <w:r>
        <w:rPr>
          <w:color w:val="718096"/>
          <w:sz w:val="20"/>
          <w:szCs w:val="20"/>
        </w:rPr>
        <w:t xml:space="preserve">Version: 2.0.0 | Date: November 30, 2025 | Status: Production-Ready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18096"/>
        <w:sz w:val="18"/>
        <w:szCs w:val="18"/>
      </w:rPr>
      <w:t xml:space="preserve">Business Sensitive - Investor Ready | Page </w:t>
    </w:r>
    <w:r>
      <w:rPr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18096"/>
        <w:sz w:val="18"/>
        <w:szCs w:val="18"/>
      </w:rPr>
      <w:t xml:space="preserve"> of </w:t>
    </w:r>
    <w:r>
      <w:rPr>
        <w:color w:val="71809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18096"/>
        <w:sz w:val="18"/>
        <w:szCs w:val="18"/>
      </w:rPr>
      <w:t xml:space="preserve">IHEP Complete Architecture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1a365d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2c528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2025-12-01T01:54:10.562Z</dcterms:created>
  <dcterms:modified xsi:type="dcterms:W3CDTF">2025-12-01T01:54:10.563Z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