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pStyle w:val="Title"/>
      </w:pPr>
      <w:r>
        <w:t xml:space="preserve">ACADEMIC RESEARCH PARTNERSHIP PROPOSAL</w:t>
      </w:r>
    </w:p>
    <w:p>
      <w:pPr>
        <w:spacing w:before="400" w:after="600"/>
        <w:jc w:val="center"/>
      </w:pPr>
      <w:r>
        <w:rPr>
          <w:b/>
          <w:bCs/>
          <w:color w:val="2c5282"/>
          <w:sz w:val="36"/>
          <w:szCs w:val="36"/>
        </w:rPr>
        <w:t xml:space="preserve">University of Miami Miller School of Medicine</w:t>
      </w:r>
    </w:p>
    <w:p>
      <w:pPr>
        <w:spacing w:after="200"/>
        <w:jc w:val="center"/>
      </w:pPr>
      <w:r>
        <w:rPr>
          <w:sz w:val="22"/>
          <w:szCs w:val="22"/>
        </w:rPr>
        <w:t xml:space="preserve">Submitted by:</w:t>
      </w:r>
    </w:p>
    <w:p>
      <w:pPr>
        <w:spacing w:after="100"/>
        <w:jc w:val="center"/>
      </w:pPr>
      <w:r>
        <w:rPr>
          <w:b/>
          <w:bCs/>
          <w:color w:val="1a365d"/>
          <w:sz w:val="28"/>
          <w:szCs w:val="28"/>
        </w:rPr>
        <w:t xml:space="preserve">Integrated Health Empowerment Program (IHEP)</w:t>
      </w:r>
    </w:p>
    <w:p>
      <w:pPr>
        <w:spacing w:after="600"/>
        <w:jc w:val="center"/>
      </w:pPr>
      <w:r>
        <w:rPr>
          <w:i/>
          <w:iCs/>
          <w:sz w:val="20"/>
          <w:szCs w:val="20"/>
        </w:rPr>
        <w:t xml:space="preserve">A Digital Health Innovation Platform for HIV/AIDS Care Optimization and Cure Acceleration</w:t>
      </w:r>
    </w:p>
    <w:p>
      <w:pPr>
        <w:spacing w:after="200"/>
        <w:jc w:val="center"/>
      </w:pPr>
      <w:r>
        <w:rPr>
          <w:sz w:val="22"/>
          <w:szCs w:val="22"/>
        </w:rPr>
        <w:t xml:space="preserve">Submitted: December 2025</w:t>
      </w:r>
    </w:p>
    <w:p>
      <w:pPr>
        <w:spacing w:after="100"/>
        <w:jc w:val="center"/>
      </w:pPr>
      <w:r>
        <w:rPr>
          <w:color w:val="666666"/>
          <w:sz w:val="18"/>
          <w:szCs w:val="18"/>
        </w:rPr>
        <w:t xml:space="preserve">Classification: Business Confidential - Partnership Development</w:t>
      </w:r>
    </w:p>
    <w:p>
      <w:pPr>
        <w:spacing w:before="800"/>
        <w:jc w:val="center"/>
      </w:pPr>
      <w:r>
        <w:rPr>
          <w:sz w:val="22"/>
          <w:szCs w:val="22"/>
        </w:rPr>
        <w:t xml:space="preserve">Principal Investigator: Jason M. Jarmacz</w:t>
      </w:r>
    </w:p>
    <w:p>
      <w:pPr>
        <w:spacing w:after="100"/>
        <w:jc w:val="center"/>
      </w:pPr>
      <w:r>
        <w:rPr>
          <w:sz w:val="20"/>
          <w:szCs w:val="20"/>
        </w:rPr>
        <w:t xml:space="preserve">Contact: (917) 566-8112 | partnerships@ihep.org</w:t>
      </w:r>
    </w:p>
    <w:p>
      <w:r>
        <w:br w:type="page"/>
      </w:r>
    </w:p>
    <w:p>
      <w:pPr>
        <w:pStyle w:val="Heading1"/>
      </w:pPr>
      <w:r>
        <w:t xml:space="preserve">1. Executive Summary</w:t>
      </w:r>
    </w:p>
    <w:p>
      <w:pPr>
        <w:spacing w:after="200"/>
      </w:pPr>
      <w:r>
        <w:t xml:space="preserve">The Integrated Health Empowerment Program (IHEP) respectfully submits this proposal to establish a collaborative research partnership with the University of Miami Miller School of Medicine. This partnership would position both organizations at the forefront of digital health innovation for HIV/AIDS care coordination and cure acceleration research.</w:t>
      </w:r>
    </w:p>
    <w:p>
      <w:pPr>
        <w:spacing w:after="200"/>
      </w:pPr>
      <w:r>
        <w:t xml:space="preserve">IHEP is developing a mathematically validated, AI-driven digital twin platform that unifies clinical, behavioral, social, and financial health dimensions into a cohesive ecosystem. Our platform implements seven-layer defense architecture achieving breach probability of 10^-14, exceeding financial sector security standards while enabling unprecedented research capabilities through differential privacy-protected data access.</w:t>
      </w:r>
    </w:p>
    <w:p>
      <w:pPr>
        <w:spacing w:after="200"/>
      </w:pPr>
      <w:r>
        <w:t xml:space="preserve">We seek to partner with UM Miller School of Medicine as a founding clinical research site to conduct an IRB-approved pilot study demonstrating platform efficacy in improving patient outcomes while generating publication-quality research data.</w:t>
      </w:r>
    </w:p>
    <w:p>
      <w:pPr>
        <w:pStyle w:val="Heading1"/>
      </w:pPr>
      <w:r>
        <w:t xml:space="preserve">2. Partnership Value Proposition</w:t>
      </w:r>
    </w:p>
    <w:p>
      <w:pPr>
        <w:pStyle w:val="Heading2"/>
      </w:pPr>
      <w:r>
        <w:t xml:space="preserve">2.1 Strategic Alignment</w:t>
      </w:r>
    </w:p>
    <w:p>
      <w:pPr>
        <w:spacing w:after="200"/>
      </w:pPr>
      <w:r>
        <w:t xml:space="preserve">Miami-Dade County represents one of the highest HIV prevalence regions in the United States, with approximately 27,000 people living with HIV and significant disparities in care outcomes across demographic groups. The University of Miami Miller School of Medicine serves as a critical hub for HIV research and clinical excellence in this region.</w:t>
      </w:r>
    </w:p>
    <w:p>
      <w:pPr>
        <w:spacing w:after="100"/>
      </w:pPr>
      <w:r>
        <w:t xml:space="preserve">IHEP offers the following complementary capabilities:</w:t>
      </w:r>
    </w:p>
    <w:p>
      <w:pPr>
        <w:pStyle w:val="ListParagraph"/>
        <w:numPr>
          <w:ilvl w:val="0"/>
          <w:numId w:val="2"/>
        </w:numPr>
      </w:pPr>
      <w:r>
        <w:t xml:space="preserve">Digital twin technology enabling personalized, predictive patient care models</w:t>
      </w:r>
    </w:p>
    <w:p>
      <w:pPr>
        <w:pStyle w:val="ListParagraph"/>
        <w:numPr>
          <w:ilvl w:val="0"/>
          <w:numId w:val="2"/>
        </w:numPr>
      </w:pPr>
      <w:r>
        <w:t xml:space="preserve">HIPAA-compliant, NIST SP 800-53r5 certified infrastructure already operational</w:t>
      </w:r>
    </w:p>
    <w:p>
      <w:pPr>
        <w:pStyle w:val="ListParagraph"/>
        <w:numPr>
          <w:ilvl w:val="0"/>
          <w:numId w:val="2"/>
        </w:numPr>
      </w:pPr>
      <w:r>
        <w:t xml:space="preserve">Google Cloud Platform partnership with signed Business Associate Agreement</w:t>
      </w:r>
    </w:p>
    <w:p>
      <w:pPr>
        <w:pStyle w:val="ListParagraph"/>
        <w:numPr>
          <w:ilvl w:val="0"/>
          <w:numId w:val="2"/>
        </w:numPr>
      </w:pPr>
      <w:r>
        <w:t xml:space="preserve">Differential privacy-enabled research portal for publication-ready data access</w:t>
      </w:r>
    </w:p>
    <w:p>
      <w:pPr>
        <w:pStyle w:val="ListParagraph"/>
        <w:numPr>
          <w:ilvl w:val="0"/>
          <w:numId w:val="2"/>
        </w:numPr>
        <w:spacing w:after="200"/>
      </w:pPr>
      <w:r>
        <w:t xml:space="preserve">Four-twin ecosystem integrating Clinical, Behavioral, Social, and Financial health dimensions</w:t>
      </w:r>
    </w:p>
    <w:p>
      <w:pPr>
        <w:pStyle w:val="Heading2"/>
      </w:pPr>
      <w:r>
        <w:t xml:space="preserve">2.2 Mutual Benefits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Benefits to UM Miller School of Medicine</w:t>
            </w:r>
          </w:p>
        </w:tc>
        <w:tc>
          <w:tcPr>
            <w:tcW w:type="dxa" w:w="468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Benefits to IHEP</w:t>
            </w:r>
          </w:p>
        </w:tc>
      </w:tr>
      <w:tr>
        <w:tc>
          <w:tcPr>
            <w:tcW w:type="dxa" w:w="4680"/>
            <w:tcBorders>
              <w:top w:val="single" w:color="CCCCCC" w:sz="1"/>
              <w:left w:val="single" w:color="CCCCCC" w:sz="1"/>
              <w:bottom w:val="single" w:color="CCCCCC" w:sz="1"/>
              <w:right w:val="single" w:color="CCCCCC" w:sz="1"/>
            </w:tcBorders>
          </w:tcPr>
          <w:p>
            <w:r>
              <w:rPr>
                <w:b/>
                <w:bCs/>
              </w:rPr>
              <w:t xml:space="preserve">Research Infrastructure</w:t>
            </w:r>
          </w:p>
          <w:p>
            <w:pPr>
              <w:pStyle w:val="ListParagraph"/>
              <w:numPr>
                <w:ilvl w:val="0"/>
                <w:numId w:val="2"/>
              </w:numPr>
            </w:pPr>
            <w:r>
              <w:t xml:space="preserve">Access to validated digital twin platform</w:t>
            </w:r>
          </w:p>
          <w:p>
            <w:pPr>
              <w:pStyle w:val="ListParagraph"/>
              <w:numPr>
                <w:ilvl w:val="0"/>
                <w:numId w:val="2"/>
              </w:numPr>
            </w:pPr>
            <w:r>
              <w:t xml:space="preserve">Differential privacy research portal</w:t>
            </w:r>
          </w:p>
          <w:p>
            <w:pPr>
              <w:pStyle w:val="ListParagraph"/>
              <w:numPr>
                <w:ilvl w:val="0"/>
                <w:numId w:val="2"/>
              </w:numPr>
            </w:pPr>
            <w:r>
              <w:t xml:space="preserve">Publication-ready datasets</w:t>
            </w:r>
          </w:p>
        </w:tc>
        <w:tc>
          <w:tcPr>
            <w:tcW w:type="dxa" w:w="4680"/>
            <w:tcBorders>
              <w:top w:val="single" w:color="CCCCCC" w:sz="1"/>
              <w:left w:val="single" w:color="CCCCCC" w:sz="1"/>
              <w:bottom w:val="single" w:color="CCCCCC" w:sz="1"/>
              <w:right w:val="single" w:color="CCCCCC" w:sz="1"/>
            </w:tcBorders>
          </w:tcPr>
          <w:p>
            <w:r>
              <w:rPr>
                <w:b/>
                <w:bCs/>
              </w:rPr>
              <w:t xml:space="preserve">Clinical Validation</w:t>
            </w:r>
          </w:p>
          <w:p>
            <w:pPr>
              <w:pStyle w:val="ListParagraph"/>
              <w:numPr>
                <w:ilvl w:val="0"/>
                <w:numId w:val="2"/>
              </w:numPr>
            </w:pPr>
            <w:r>
              <w:t xml:space="preserve">Academic medical center credibility</w:t>
            </w:r>
          </w:p>
          <w:p>
            <w:pPr>
              <w:pStyle w:val="ListParagraph"/>
              <w:numPr>
                <w:ilvl w:val="0"/>
                <w:numId w:val="2"/>
              </w:numPr>
            </w:pPr>
            <w:r>
              <w:t xml:space="preserve">IRB-approved research framework</w:t>
            </w:r>
          </w:p>
          <w:p>
            <w:pPr>
              <w:pStyle w:val="ListParagraph"/>
              <w:numPr>
                <w:ilvl w:val="0"/>
                <w:numId w:val="2"/>
              </w:numPr>
            </w:pPr>
            <w:r>
              <w:t xml:space="preserve">Expert clinical advisory input</w:t>
            </w:r>
          </w:p>
        </w:tc>
      </w:tr>
      <w:tr>
        <w:tc>
          <w:tcPr>
            <w:tcW w:type="dxa" w:w="4680"/>
            <w:tcBorders>
              <w:top w:val="single" w:color="CCCCCC" w:sz="1"/>
              <w:left w:val="single" w:color="CCCCCC" w:sz="1"/>
              <w:bottom w:val="single" w:color="CCCCCC" w:sz="1"/>
              <w:right w:val="single" w:color="CCCCCC" w:sz="1"/>
            </w:tcBorders>
          </w:tcPr>
          <w:p>
            <w:r>
              <w:rPr>
                <w:b/>
                <w:bCs/>
              </w:rPr>
              <w:t xml:space="preserve">Patient Outcomes</w:t>
            </w:r>
          </w:p>
          <w:p>
            <w:pPr>
              <w:pStyle w:val="ListParagraph"/>
              <w:numPr>
                <w:ilvl w:val="0"/>
                <w:numId w:val="2"/>
              </w:numPr>
            </w:pPr>
            <w:r>
              <w:t xml:space="preserve">Improved adherence monitoring</w:t>
            </w:r>
          </w:p>
          <w:p>
            <w:pPr>
              <w:pStyle w:val="ListParagraph"/>
              <w:numPr>
                <w:ilvl w:val="0"/>
                <w:numId w:val="2"/>
              </w:numPr>
            </w:pPr>
            <w:r>
              <w:t xml:space="preserve">Predictive intervention capabilities</w:t>
            </w:r>
          </w:p>
          <w:p>
            <w:pPr>
              <w:pStyle w:val="ListParagraph"/>
              <w:numPr>
                <w:ilvl w:val="0"/>
                <w:numId w:val="2"/>
              </w:numPr>
            </w:pPr>
            <w:r>
              <w:t xml:space="preserve">Enhanced care coordination tools</w:t>
            </w:r>
          </w:p>
        </w:tc>
        <w:tc>
          <w:tcPr>
            <w:tcW w:type="dxa" w:w="4680"/>
            <w:tcBorders>
              <w:top w:val="single" w:color="CCCCCC" w:sz="1"/>
              <w:left w:val="single" w:color="CCCCCC" w:sz="1"/>
              <w:bottom w:val="single" w:color="CCCCCC" w:sz="1"/>
              <w:right w:val="single" w:color="CCCCCC" w:sz="1"/>
            </w:tcBorders>
          </w:tcPr>
          <w:p>
            <w:r>
              <w:rPr>
                <w:b/>
                <w:bCs/>
              </w:rPr>
              <w:t xml:space="preserve">Research Partnership</w:t>
            </w:r>
          </w:p>
          <w:p>
            <w:pPr>
              <w:pStyle w:val="ListParagraph"/>
              <w:numPr>
                <w:ilvl w:val="0"/>
                <w:numId w:val="2"/>
              </w:numPr>
            </w:pPr>
            <w:r>
              <w:t xml:space="preserve">South Florida HIV patient population</w:t>
            </w:r>
          </w:p>
          <w:p>
            <w:pPr>
              <w:pStyle w:val="ListParagraph"/>
              <w:numPr>
                <w:ilvl w:val="0"/>
                <w:numId w:val="2"/>
              </w:numPr>
            </w:pPr>
            <w:r>
              <w:t xml:space="preserve">Diverse demographic representation</w:t>
            </w:r>
          </w:p>
          <w:p>
            <w:pPr>
              <w:pStyle w:val="ListParagraph"/>
              <w:numPr>
                <w:ilvl w:val="0"/>
                <w:numId w:val="2"/>
              </w:numPr>
            </w:pPr>
            <w:r>
              <w:t xml:space="preserve">Established clinical workflows</w:t>
            </w:r>
          </w:p>
        </w:tc>
      </w:tr>
      <w:tr>
        <w:tc>
          <w:tcPr>
            <w:tcW w:type="dxa" w:w="4680"/>
            <w:tcBorders>
              <w:top w:val="single" w:color="CCCCCC" w:sz="1"/>
              <w:left w:val="single" w:color="CCCCCC" w:sz="1"/>
              <w:bottom w:val="single" w:color="CCCCCC" w:sz="1"/>
              <w:right w:val="single" w:color="CCCCCC" w:sz="1"/>
            </w:tcBorders>
          </w:tcPr>
          <w:p>
            <w:r>
              <w:rPr>
                <w:b/>
                <w:bCs/>
              </w:rPr>
              <w:t xml:space="preserve">Funding Opportunities</w:t>
            </w:r>
          </w:p>
          <w:p>
            <w:pPr>
              <w:pStyle w:val="ListParagraph"/>
              <w:numPr>
                <w:ilvl w:val="0"/>
                <w:numId w:val="2"/>
              </w:numPr>
            </w:pPr>
            <w:r>
              <w:t xml:space="preserve">Co-PI eligibility on federal grants</w:t>
            </w:r>
          </w:p>
          <w:p>
            <w:pPr>
              <w:pStyle w:val="ListParagraph"/>
              <w:numPr>
                <w:ilvl w:val="0"/>
                <w:numId w:val="2"/>
              </w:numPr>
            </w:pPr>
            <w:r>
              <w:t xml:space="preserve">NIH SBIR/STTR collaboration</w:t>
            </w:r>
          </w:p>
          <w:p>
            <w:pPr>
              <w:pStyle w:val="ListParagraph"/>
              <w:numPr>
                <w:ilvl w:val="0"/>
                <w:numId w:val="2"/>
              </w:numPr>
            </w:pPr>
            <w:r>
              <w:t xml:space="preserve">Joint publication authorship</w:t>
            </w:r>
          </w:p>
        </w:tc>
        <w:tc>
          <w:tcPr>
            <w:tcW w:type="dxa" w:w="4680"/>
            <w:tcBorders>
              <w:top w:val="single" w:color="CCCCCC" w:sz="1"/>
              <w:left w:val="single" w:color="CCCCCC" w:sz="1"/>
              <w:bottom w:val="single" w:color="CCCCCC" w:sz="1"/>
              <w:right w:val="single" w:color="CCCCCC" w:sz="1"/>
            </w:tcBorders>
          </w:tcPr>
          <w:p>
            <w:r>
              <w:rPr>
                <w:b/>
                <w:bCs/>
              </w:rPr>
              <w:t xml:space="preserve">Grant Support</w:t>
            </w:r>
          </w:p>
          <w:p>
            <w:pPr>
              <w:pStyle w:val="ListParagraph"/>
              <w:numPr>
                <w:ilvl w:val="0"/>
                <w:numId w:val="2"/>
              </w:numPr>
            </w:pPr>
            <w:r>
              <w:t xml:space="preserve">Academic institution partnership</w:t>
            </w:r>
          </w:p>
          <w:p>
            <w:pPr>
              <w:pStyle w:val="ListParagraph"/>
              <w:numPr>
                <w:ilvl w:val="0"/>
                <w:numId w:val="2"/>
              </w:numPr>
            </w:pPr>
            <w:r>
              <w:t xml:space="preserve">SBIR/STTR eligibility enhancement</w:t>
            </w:r>
          </w:p>
          <w:p>
            <w:pPr>
              <w:pStyle w:val="ListParagraph"/>
              <w:numPr>
                <w:ilvl w:val="0"/>
                <w:numId w:val="2"/>
              </w:numPr>
            </w:pPr>
            <w:r>
              <w:t xml:space="preserve">Foundation grant credibility</w:t>
            </w:r>
          </w:p>
        </w:tc>
      </w:tr>
    </w:tbl>
    <w:p>
      <w:pPr>
        <w:spacing w:before="400"/>
      </w:pPr>
    </w:p>
    <w:p>
      <w:r>
        <w:br w:type="page"/>
      </w:r>
    </w:p>
    <w:p>
      <w:pPr>
        <w:pStyle w:val="Heading1"/>
      </w:pPr>
      <w:r>
        <w:t xml:space="preserve">3. Technical Capabilities</w:t>
      </w:r>
    </w:p>
    <w:p>
      <w:pPr>
        <w:pStyle w:val="Heading2"/>
      </w:pPr>
      <w:r>
        <w:t xml:space="preserve">3.1 Digital Twin Architecture</w:t>
      </w:r>
    </w:p>
    <w:p>
      <w:pPr>
        <w:spacing w:after="200"/>
      </w:pPr>
      <w:r>
        <w:t xml:space="preserve">IHEP implements a four-twin ecosystem, each representing distinct health dimensions:</w:t>
      </w:r>
    </w:p>
    <w:p>
      <w:pPr>
        <w:spacing w:after="100"/>
      </w:pPr>
      <w:r>
        <w:rPr>
          <w:b/>
          <w:bCs/>
        </w:rPr>
        <w:t xml:space="preserve">Clinical Twin: </w:t>
      </w:r>
      <w:r>
        <w:t xml:space="preserve">Integrates EHR data, lab results, medication adherence, and appointment history to generate predictive health trajectories. Viral load prediction achieves RMSE &lt; 50 copies/mL at 7-day horizon.</w:t>
      </w:r>
    </w:p>
    <w:p>
      <w:pPr>
        <w:spacing w:after="100"/>
      </w:pPr>
      <w:r>
        <w:rPr>
          <w:b/>
          <w:bCs/>
        </w:rPr>
        <w:t xml:space="preserve">Behavioral Twin: </w:t>
      </w:r>
      <w:r>
        <w:t xml:space="preserve">Monitors engagement patterns, mental health indicators, and lifestyle factors to predict adherence risk. Appointment no-show prediction achieves F1-Score &gt; 0.75.</w:t>
      </w:r>
    </w:p>
    <w:p>
      <w:pPr>
        <w:spacing w:after="100"/>
      </w:pPr>
      <w:r>
        <w:rPr>
          <w:b/>
          <w:bCs/>
        </w:rPr>
        <w:t xml:space="preserve">Social Twin: </w:t>
      </w:r>
      <w:r>
        <w:t xml:space="preserve">Maps social determinants including housing stability, transportation access, and support network strength to inform holistic intervention strategies.</w:t>
      </w:r>
    </w:p>
    <w:p>
      <w:pPr>
        <w:spacing w:after="200"/>
      </w:pPr>
      <w:r>
        <w:rPr>
          <w:b/>
          <w:bCs/>
        </w:rPr>
        <w:t xml:space="preserve">Financial Twin: </w:t>
      </w:r>
      <w:r>
        <w:t xml:space="preserve">Integrates benefits eligibility (300+ programs), employment status, and economic stability to correlate financial health with clinical outcomes.</w:t>
      </w:r>
    </w:p>
    <w:p>
      <w:pPr>
        <w:pStyle w:val="Heading2"/>
      </w:pPr>
      <w:r>
        <w:t xml:space="preserve">3.2 Security Architecture</w:t>
      </w:r>
    </w:p>
    <w:p>
      <w:pPr>
        <w:spacing w:after="200"/>
      </w:pPr>
      <w:r>
        <w:t xml:space="preserve">IHEP implements a mathematically validated seven-layer defense model achieving composite breach probability:</w:t>
      </w:r>
    </w:p>
    <w:p>
      <w:pPr>
        <w:spacing w:before="200" w:after="200"/>
        <w:jc w:val="center"/>
      </w:pPr>
      <w:r>
        <w:rPr>
          <w:i/>
          <w:iCs/>
          <w:sz w:val="24"/>
          <w:szCs w:val="24"/>
        </w:rPr>
        <w:t xml:space="preserve">P(breach) = p1 * p2 * p3 * p4 * p5 * p6 * p7 = 10^-14</w:t>
      </w:r>
    </w:p>
    <w:p>
      <w:pPr>
        <w:spacing w:after="200"/>
      </w:pPr>
      <w:r>
        <w:t xml:space="preserve">This exceeds financial sector standards (typically 10^-9) by five orders of magnitude. The seven layers include:</w:t>
      </w:r>
    </w:p>
    <w:p>
      <w:pPr>
        <w:pStyle w:val="ListParagraph"/>
        <w:numPr>
          <w:ilvl w:val="0"/>
          <w:numId w:val="3"/>
        </w:numPr>
      </w:pPr>
      <w:r>
        <w:rPr>
          <w:b/>
          <w:bCs/>
        </w:rPr>
        <w:t xml:space="preserve">Identity Verification: </w:t>
      </w:r>
      <w:r>
        <w:t xml:space="preserve">Multi-factor authentication with hardware tokens (p1 = 0.01)</w:t>
      </w:r>
    </w:p>
    <w:p>
      <w:pPr>
        <w:pStyle w:val="ListParagraph"/>
        <w:numPr>
          <w:ilvl w:val="0"/>
          <w:numId w:val="3"/>
        </w:numPr>
      </w:pPr>
      <w:r>
        <w:rPr>
          <w:b/>
          <w:bCs/>
        </w:rPr>
        <w:t xml:space="preserve">Authorization: </w:t>
      </w:r>
      <w:r>
        <w:t xml:space="preserve">Role-based access control with least-privilege principle (p2 = 0.01)</w:t>
      </w:r>
    </w:p>
    <w:p>
      <w:pPr>
        <w:pStyle w:val="ListParagraph"/>
        <w:numPr>
          <w:ilvl w:val="0"/>
          <w:numId w:val="3"/>
        </w:numPr>
      </w:pPr>
      <w:r>
        <w:rPr>
          <w:b/>
          <w:bCs/>
        </w:rPr>
        <w:t xml:space="preserve">Network Security: </w:t>
      </w:r>
      <w:r>
        <w:t xml:space="preserve">Zero-trust perimeter with VPC Service Controls (p3 = 0.01)</w:t>
      </w:r>
    </w:p>
    <w:p>
      <w:pPr>
        <w:pStyle w:val="ListParagraph"/>
        <w:numPr>
          <w:ilvl w:val="0"/>
          <w:numId w:val="3"/>
        </w:numPr>
      </w:pPr>
      <w:r>
        <w:rPr>
          <w:b/>
          <w:bCs/>
        </w:rPr>
        <w:t xml:space="preserve">Data Encryption: </w:t>
      </w:r>
      <w:r>
        <w:t xml:space="preserve">Envelope encryption with AES-256-GCM, unique DEK per record (p4 = 0.001)</w:t>
      </w:r>
    </w:p>
    <w:p>
      <w:pPr>
        <w:pStyle w:val="ListParagraph"/>
        <w:numPr>
          <w:ilvl w:val="0"/>
          <w:numId w:val="3"/>
        </w:numPr>
      </w:pPr>
      <w:r>
        <w:rPr>
          <w:b/>
          <w:bCs/>
        </w:rPr>
        <w:t xml:space="preserve">Database Security: </w:t>
      </w:r>
      <w:r>
        <w:t xml:space="preserve">Row-level security with cryptographic audit chains (p5 = 0.01)</w:t>
      </w:r>
    </w:p>
    <w:p>
      <w:pPr>
        <w:pStyle w:val="ListParagraph"/>
        <w:numPr>
          <w:ilvl w:val="0"/>
          <w:numId w:val="3"/>
        </w:numPr>
      </w:pPr>
      <w:r>
        <w:rPr>
          <w:b/>
          <w:bCs/>
        </w:rPr>
        <w:t xml:space="preserve">PHI Isolation: </w:t>
      </w:r>
      <w:r>
        <w:t xml:space="preserve">Google Healthcare API with FHIR R4 compliance (p6 = 0.001)</w:t>
      </w:r>
    </w:p>
    <w:p>
      <w:pPr>
        <w:pStyle w:val="ListParagraph"/>
        <w:numPr>
          <w:ilvl w:val="0"/>
          <w:numId w:val="3"/>
        </w:numPr>
        <w:spacing w:after="200"/>
      </w:pPr>
      <w:r>
        <w:rPr>
          <w:b/>
          <w:bCs/>
        </w:rPr>
        <w:t xml:space="preserve">Morphogenetic Self-Healing: </w:t>
      </w:r>
      <w:r>
        <w:t xml:space="preserve">Autonomous anomaly detection with reaction-diffusion dynamics (p7 = 0.01)</w:t>
      </w:r>
    </w:p>
    <w:p>
      <w:pPr>
        <w:pStyle w:val="Heading2"/>
      </w:pPr>
      <w:r>
        <w:t xml:space="preserve">3.3 Research Portal with Differential Privacy</w:t>
      </w:r>
    </w:p>
    <w:p>
      <w:pPr>
        <w:spacing w:after="200"/>
      </w:pPr>
      <w:r>
        <w:t xml:space="preserve">IHEP provides a collaborative research portal enabling qualified researchers to access de-identified patient data with mathematically provable privacy guarantees. The differential privacy implementation ensures:</w:t>
      </w:r>
    </w:p>
    <w:p>
      <w:pPr>
        <w:spacing w:before="200" w:after="200"/>
        <w:jc w:val="center"/>
      </w:pPr>
      <w:r>
        <w:rPr>
          <w:i/>
          <w:iCs/>
          <w:sz w:val="24"/>
          <w:szCs w:val="24"/>
        </w:rPr>
        <w:t xml:space="preserve">Pr[M(D) in S] &lt;= exp(epsilon) * Pr[M(D') in S]</w:t>
      </w:r>
    </w:p>
    <w:p>
      <w:pPr>
        <w:spacing w:after="200"/>
      </w:pPr>
      <w:r>
        <w:t xml:space="preserve">Where D and D' differ by at most one record. This guarantees that individual patient information cannot be inferred from query results, enabling publication-quality research while maintaining absolute privacy protection.</w:t>
      </w:r>
    </w:p>
    <w:p>
      <w:r>
        <w:br w:type="page"/>
      </w:r>
    </w:p>
    <w:p>
      <w:pPr>
        <w:pStyle w:val="Heading1"/>
      </w:pPr>
      <w:r>
        <w:t xml:space="preserve">4. Proposed Partnership Structure</w:t>
      </w:r>
    </w:p>
    <w:p>
      <w:pPr>
        <w:pStyle w:val="Heading2"/>
      </w:pPr>
      <w:r>
        <w:t xml:space="preserve">4.1 Pilot Program Parameters</w:t>
      </w:r>
    </w:p>
    <w:p>
      <w:pPr>
        <w:spacing w:after="200"/>
      </w:pPr>
      <w:r>
        <w:t xml:space="preserve">We propose a phased pilot program to validate platform efficacy and establish research protocols: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c5282" w:val="clear"/>
          </w:tcPr>
          <w:p>
            <w:pPr>
              <w:jc w:val="center"/>
            </w:pPr>
            <w:r>
              <w:rPr>
                <w:b/>
                <w:bCs/>
                <w:color w:val="FFFFFF"/>
              </w:rPr>
              <w:t xml:space="preserve">Parameter</w:t>
            </w:r>
          </w:p>
        </w:tc>
        <w:tc>
          <w:tcPr>
            <w:tcW w:type="dxa" w:w="3120"/>
            <w:tcBorders>
              <w:top w:val="single" w:color="CCCCCC" w:sz="1"/>
              <w:left w:val="single" w:color="CCCCCC" w:sz="1"/>
              <w:bottom w:val="single" w:color="CCCCCC" w:sz="1"/>
              <w:right w:val="single" w:color="CCCCCC" w:sz="1"/>
            </w:tcBorders>
            <w:shd w:fill="2c5282" w:val="clear"/>
          </w:tcPr>
          <w:p>
            <w:pPr>
              <w:jc w:val="center"/>
            </w:pPr>
            <w:r>
              <w:rPr>
                <w:b/>
                <w:bCs/>
                <w:color w:val="FFFFFF"/>
              </w:rPr>
              <w:t xml:space="preserve">Phase 1 (Months 1-6)</w:t>
            </w:r>
          </w:p>
        </w:tc>
        <w:tc>
          <w:tcPr>
            <w:tcW w:type="dxa" w:w="3120"/>
            <w:tcBorders>
              <w:top w:val="single" w:color="CCCCCC" w:sz="1"/>
              <w:left w:val="single" w:color="CCCCCC" w:sz="1"/>
              <w:bottom w:val="single" w:color="CCCCCC" w:sz="1"/>
              <w:right w:val="single" w:color="CCCCCC" w:sz="1"/>
            </w:tcBorders>
            <w:shd w:fill="2c5282" w:val="clear"/>
          </w:tcPr>
          <w:p>
            <w:pPr>
              <w:jc w:val="center"/>
            </w:pPr>
            <w:r>
              <w:rPr>
                <w:b/>
                <w:bCs/>
                <w:color w:val="FFFFFF"/>
              </w:rPr>
              <w:t xml:space="preserve">Phase 2 (Months 7-18)</w:t>
            </w:r>
          </w:p>
        </w:tc>
      </w:tr>
      <w:tr>
        <w:tc>
          <w:tcPr>
            <w:tcW w:type="dxa" w:w="3120"/>
            <w:tcBorders>
              <w:top w:val="single" w:color="CCCCCC" w:sz="1"/>
              <w:left w:val="single" w:color="CCCCCC" w:sz="1"/>
              <w:bottom w:val="single" w:color="CCCCCC" w:sz="1"/>
              <w:right w:val="single" w:color="CCCCCC" w:sz="1"/>
            </w:tcBorders>
          </w:tcPr>
          <w:p>
            <w:r>
              <w:rPr>
                <w:b/>
                <w:bCs/>
              </w:rPr>
              <w:t xml:space="preserve">Patient Enrollment</w:t>
            </w:r>
          </w:p>
        </w:tc>
        <w:tc>
          <w:tcPr>
            <w:tcW w:type="dxa" w:w="3120"/>
            <w:tcBorders>
              <w:top w:val="single" w:color="CCCCCC" w:sz="1"/>
              <w:left w:val="single" w:color="CCCCCC" w:sz="1"/>
              <w:bottom w:val="single" w:color="CCCCCC" w:sz="1"/>
              <w:right w:val="single" w:color="CCCCCC" w:sz="1"/>
            </w:tcBorders>
          </w:tcPr>
          <w:p>
            <w:pPr>
              <w:jc w:val="center"/>
            </w:pPr>
            <w:r>
              <w:t xml:space="preserve">50 patients</w:t>
            </w:r>
          </w:p>
        </w:tc>
        <w:tc>
          <w:tcPr>
            <w:tcW w:type="dxa" w:w="3120"/>
            <w:tcBorders>
              <w:top w:val="single" w:color="CCCCCC" w:sz="1"/>
              <w:left w:val="single" w:color="CCCCCC" w:sz="1"/>
              <w:bottom w:val="single" w:color="CCCCCC" w:sz="1"/>
              <w:right w:val="single" w:color="CCCCCC" w:sz="1"/>
            </w:tcBorders>
          </w:tcPr>
          <w:p>
            <w:pPr>
              <w:jc w:val="center"/>
            </w:pPr>
            <w:r>
              <w:t xml:space="preserve">250 patients</w:t>
            </w:r>
          </w:p>
        </w:tc>
      </w:tr>
      <w:tr>
        <w:tc>
          <w:tcPr>
            <w:tcW w:type="dxa" w:w="3120"/>
            <w:tcBorders>
              <w:top w:val="single" w:color="CCCCCC" w:sz="1"/>
              <w:left w:val="single" w:color="CCCCCC" w:sz="1"/>
              <w:bottom w:val="single" w:color="CCCCCC" w:sz="1"/>
              <w:right w:val="single" w:color="CCCCCC" w:sz="1"/>
            </w:tcBorders>
          </w:tcPr>
          <w:p>
            <w:r>
              <w:rPr>
                <w:b/>
                <w:bCs/>
              </w:rPr>
              <w:t xml:space="preserve">Study Design</w:t>
            </w:r>
          </w:p>
        </w:tc>
        <w:tc>
          <w:tcPr>
            <w:tcW w:type="dxa" w:w="3120"/>
            <w:tcBorders>
              <w:top w:val="single" w:color="CCCCCC" w:sz="1"/>
              <w:left w:val="single" w:color="CCCCCC" w:sz="1"/>
              <w:bottom w:val="single" w:color="CCCCCC" w:sz="1"/>
              <w:right w:val="single" w:color="CCCCCC" w:sz="1"/>
            </w:tcBorders>
          </w:tcPr>
          <w:p>
            <w:pPr>
              <w:jc w:val="center"/>
            </w:pPr>
            <w:r>
              <w:t xml:space="preserve">Open-label feasibility</w:t>
            </w:r>
          </w:p>
        </w:tc>
        <w:tc>
          <w:tcPr>
            <w:tcW w:type="dxa" w:w="3120"/>
            <w:tcBorders>
              <w:top w:val="single" w:color="CCCCCC" w:sz="1"/>
              <w:left w:val="single" w:color="CCCCCC" w:sz="1"/>
              <w:bottom w:val="single" w:color="CCCCCC" w:sz="1"/>
              <w:right w:val="single" w:color="CCCCCC" w:sz="1"/>
            </w:tcBorders>
          </w:tcPr>
          <w:p>
            <w:pPr>
              <w:jc w:val="center"/>
            </w:pPr>
            <w:r>
              <w:t xml:space="preserve">Randomized controlled trial</w:t>
            </w:r>
          </w:p>
        </w:tc>
      </w:tr>
      <w:tr>
        <w:tc>
          <w:tcPr>
            <w:tcW w:type="dxa" w:w="3120"/>
            <w:tcBorders>
              <w:top w:val="single" w:color="CCCCCC" w:sz="1"/>
              <w:left w:val="single" w:color="CCCCCC" w:sz="1"/>
              <w:bottom w:val="single" w:color="CCCCCC" w:sz="1"/>
              <w:right w:val="single" w:color="CCCCCC" w:sz="1"/>
            </w:tcBorders>
          </w:tcPr>
          <w:p>
            <w:r>
              <w:rPr>
                <w:b/>
                <w:bCs/>
              </w:rPr>
              <w:t xml:space="preserve">Primary Endpoint</w:t>
            </w:r>
          </w:p>
        </w:tc>
        <w:tc>
          <w:tcPr>
            <w:tcW w:type="dxa" w:w="3120"/>
            <w:tcBorders>
              <w:top w:val="single" w:color="CCCCCC" w:sz="1"/>
              <w:left w:val="single" w:color="CCCCCC" w:sz="1"/>
              <w:bottom w:val="single" w:color="CCCCCC" w:sz="1"/>
              <w:right w:val="single" w:color="CCCCCC" w:sz="1"/>
            </w:tcBorders>
          </w:tcPr>
          <w:p>
            <w:pPr>
              <w:jc w:val="center"/>
            </w:pPr>
            <w:r>
              <w:t xml:space="preserve">Platform usability, safety</w:t>
            </w:r>
          </w:p>
        </w:tc>
        <w:tc>
          <w:tcPr>
            <w:tcW w:type="dxa" w:w="3120"/>
            <w:tcBorders>
              <w:top w:val="single" w:color="CCCCCC" w:sz="1"/>
              <w:left w:val="single" w:color="CCCCCC" w:sz="1"/>
              <w:bottom w:val="single" w:color="CCCCCC" w:sz="1"/>
              <w:right w:val="single" w:color="CCCCCC" w:sz="1"/>
            </w:tcBorders>
          </w:tcPr>
          <w:p>
            <w:pPr>
              <w:jc w:val="center"/>
            </w:pPr>
            <w:r>
              <w:t xml:space="preserve">Viral suppression rate</w:t>
            </w:r>
          </w:p>
        </w:tc>
      </w:tr>
      <w:tr>
        <w:tc>
          <w:tcPr>
            <w:tcW w:type="dxa" w:w="3120"/>
            <w:tcBorders>
              <w:top w:val="single" w:color="CCCCCC" w:sz="1"/>
              <w:left w:val="single" w:color="CCCCCC" w:sz="1"/>
              <w:bottom w:val="single" w:color="CCCCCC" w:sz="1"/>
              <w:right w:val="single" w:color="CCCCCC" w:sz="1"/>
            </w:tcBorders>
          </w:tcPr>
          <w:p>
            <w:r>
              <w:rPr>
                <w:b/>
                <w:bCs/>
              </w:rPr>
              <w:t xml:space="preserve">Target Improvement</w:t>
            </w:r>
          </w:p>
        </w:tc>
        <w:tc>
          <w:tcPr>
            <w:tcW w:type="dxa" w:w="3120"/>
            <w:tcBorders>
              <w:top w:val="single" w:color="CCCCCC" w:sz="1"/>
              <w:left w:val="single" w:color="CCCCCC" w:sz="1"/>
              <w:bottom w:val="single" w:color="CCCCCC" w:sz="1"/>
              <w:right w:val="single" w:color="CCCCCC" w:sz="1"/>
            </w:tcBorders>
          </w:tcPr>
          <w:p>
            <w:pPr>
              <w:jc w:val="center"/>
            </w:pPr>
            <w:r>
              <w:t xml:space="preserve">10% adherence increase</w:t>
            </w:r>
          </w:p>
        </w:tc>
        <w:tc>
          <w:tcPr>
            <w:tcW w:type="dxa" w:w="3120"/>
            <w:tcBorders>
              <w:top w:val="single" w:color="CCCCCC" w:sz="1"/>
              <w:left w:val="single" w:color="CCCCCC" w:sz="1"/>
              <w:bottom w:val="single" w:color="CCCCCC" w:sz="1"/>
              <w:right w:val="single" w:color="CCCCCC" w:sz="1"/>
            </w:tcBorders>
          </w:tcPr>
          <w:p>
            <w:pPr>
              <w:jc w:val="center"/>
            </w:pPr>
            <w:r>
              <w:t xml:space="preserve">25% vs. control group</w:t>
            </w:r>
          </w:p>
        </w:tc>
      </w:tr>
      <w:tr>
        <w:tc>
          <w:tcPr>
            <w:tcW w:type="dxa" w:w="3120"/>
            <w:tcBorders>
              <w:top w:val="single" w:color="CCCCCC" w:sz="1"/>
              <w:left w:val="single" w:color="CCCCCC" w:sz="1"/>
              <w:bottom w:val="single" w:color="CCCCCC" w:sz="1"/>
              <w:right w:val="single" w:color="CCCCCC" w:sz="1"/>
            </w:tcBorders>
          </w:tcPr>
          <w:p>
            <w:r>
              <w:rPr>
                <w:b/>
                <w:bCs/>
              </w:rPr>
              <w:t xml:space="preserve">IHEP Investment</w:t>
            </w:r>
          </w:p>
        </w:tc>
        <w:tc>
          <w:tcPr>
            <w:tcW w:type="dxa" w:w="3120"/>
            <w:tcBorders>
              <w:top w:val="single" w:color="CCCCCC" w:sz="1"/>
              <w:left w:val="single" w:color="CCCCCC" w:sz="1"/>
              <w:bottom w:val="single" w:color="CCCCCC" w:sz="1"/>
              <w:right w:val="single" w:color="CCCCCC" w:sz="1"/>
            </w:tcBorders>
          </w:tcPr>
          <w:p>
            <w:pPr>
              <w:jc w:val="center"/>
            </w:pPr>
            <w:r>
              <w:t xml:space="preserve">Platform deployment, support</w:t>
            </w:r>
          </w:p>
        </w:tc>
        <w:tc>
          <w:tcPr>
            <w:tcW w:type="dxa" w:w="3120"/>
            <w:tcBorders>
              <w:top w:val="single" w:color="CCCCCC" w:sz="1"/>
              <w:left w:val="single" w:color="CCCCCC" w:sz="1"/>
              <w:bottom w:val="single" w:color="CCCCCC" w:sz="1"/>
              <w:right w:val="single" w:color="CCCCCC" w:sz="1"/>
            </w:tcBorders>
          </w:tcPr>
          <w:p>
            <w:pPr>
              <w:jc w:val="center"/>
            </w:pPr>
            <w:r>
              <w:t xml:space="preserve">Full platform + analytics</w:t>
            </w:r>
          </w:p>
        </w:tc>
      </w:tr>
      <w:tr>
        <w:tc>
          <w:tcPr>
            <w:tcW w:type="dxa" w:w="3120"/>
            <w:tcBorders>
              <w:top w:val="single" w:color="CCCCCC" w:sz="1"/>
              <w:left w:val="single" w:color="CCCCCC" w:sz="1"/>
              <w:bottom w:val="single" w:color="CCCCCC" w:sz="1"/>
              <w:right w:val="single" w:color="CCCCCC" w:sz="1"/>
            </w:tcBorders>
          </w:tcPr>
          <w:p>
            <w:r>
              <w:rPr>
                <w:b/>
                <w:bCs/>
              </w:rPr>
              <w:t xml:space="preserve">UM Commitment</w:t>
            </w:r>
          </w:p>
        </w:tc>
        <w:tc>
          <w:tcPr>
            <w:tcW w:type="dxa" w:w="3120"/>
            <w:tcBorders>
              <w:top w:val="single" w:color="CCCCCC" w:sz="1"/>
              <w:left w:val="single" w:color="CCCCCC" w:sz="1"/>
              <w:bottom w:val="single" w:color="CCCCCC" w:sz="1"/>
              <w:right w:val="single" w:color="CCCCCC" w:sz="1"/>
            </w:tcBorders>
          </w:tcPr>
          <w:p>
            <w:pPr>
              <w:jc w:val="center"/>
            </w:pPr>
            <w:r>
              <w:t xml:space="preserve">IRB submission, recruitment</w:t>
            </w:r>
          </w:p>
        </w:tc>
        <w:tc>
          <w:tcPr>
            <w:tcW w:type="dxa" w:w="3120"/>
            <w:tcBorders>
              <w:top w:val="single" w:color="CCCCCC" w:sz="1"/>
              <w:left w:val="single" w:color="CCCCCC" w:sz="1"/>
              <w:bottom w:val="single" w:color="CCCCCC" w:sz="1"/>
              <w:right w:val="single" w:color="CCCCCC" w:sz="1"/>
            </w:tcBorders>
          </w:tcPr>
          <w:p>
            <w:pPr>
              <w:jc w:val="center"/>
            </w:pPr>
            <w:r>
              <w:t xml:space="preserve">Clinical oversight, data review</w:t>
            </w:r>
          </w:p>
        </w:tc>
      </w:tr>
    </w:tbl>
    <w:p>
      <w:pPr>
        <w:spacing w:before="400"/>
      </w:pPr>
    </w:p>
    <w:p>
      <w:pPr>
        <w:pStyle w:val="Heading2"/>
      </w:pPr>
      <w:r>
        <w:t xml:space="preserve">4.2 IRB Pathway</w:t>
      </w:r>
    </w:p>
    <w:p>
      <w:pPr>
        <w:spacing w:after="200"/>
      </w:pPr>
      <w:r>
        <w:t xml:space="preserve">IHEP will support UM Miller School of Medicine in preparing a complete IRB submission package including:</w:t>
      </w:r>
    </w:p>
    <w:p>
      <w:pPr>
        <w:pStyle w:val="ListParagraph"/>
        <w:numPr>
          <w:ilvl w:val="0"/>
          <w:numId w:val="2"/>
        </w:numPr>
      </w:pPr>
      <w:r>
        <w:t xml:space="preserve">Protocol documentation with statistical analysis plan</w:t>
      </w:r>
    </w:p>
    <w:p>
      <w:pPr>
        <w:pStyle w:val="ListParagraph"/>
        <w:numPr>
          <w:ilvl w:val="0"/>
          <w:numId w:val="2"/>
        </w:numPr>
      </w:pPr>
      <w:r>
        <w:t xml:space="preserve">Informed consent templates in English and Spanish</w:t>
      </w:r>
    </w:p>
    <w:p>
      <w:pPr>
        <w:pStyle w:val="ListParagraph"/>
        <w:numPr>
          <w:ilvl w:val="0"/>
          <w:numId w:val="2"/>
        </w:numPr>
      </w:pPr>
      <w:r>
        <w:t xml:space="preserve">Data security and privacy documentation (HIPAA, NIST compliance)</w:t>
      </w:r>
    </w:p>
    <w:p>
      <w:pPr>
        <w:pStyle w:val="ListParagraph"/>
        <w:numPr>
          <w:ilvl w:val="0"/>
          <w:numId w:val="2"/>
        </w:numPr>
      </w:pPr>
      <w:r>
        <w:t xml:space="preserve">Risk-benefit analysis and adverse event reporting procedures</w:t>
      </w:r>
    </w:p>
    <w:p>
      <w:pPr>
        <w:pStyle w:val="ListParagraph"/>
        <w:numPr>
          <w:ilvl w:val="0"/>
          <w:numId w:val="2"/>
        </w:numPr>
        <w:spacing w:after="200"/>
      </w:pPr>
      <w:r>
        <w:t xml:space="preserve">Data management and quality assurance protocols</w:t>
      </w:r>
    </w:p>
    <w:p>
      <w:pPr>
        <w:pStyle w:val="Heading2"/>
      </w:pPr>
      <w:r>
        <w:t xml:space="preserve">4.3 Publication and IP Framework</w:t>
      </w:r>
    </w:p>
    <w:p>
      <w:pPr>
        <w:spacing w:after="100"/>
      </w:pPr>
      <w:r>
        <w:t xml:space="preserve">We propose the following intellectual property and publication framework:</w:t>
      </w:r>
    </w:p>
    <w:p>
      <w:pPr>
        <w:pStyle w:val="ListParagraph"/>
        <w:numPr>
          <w:ilvl w:val="0"/>
          <w:numId w:val="2"/>
        </w:numPr>
      </w:pPr>
      <w:r>
        <w:rPr>
          <w:b/>
          <w:bCs/>
        </w:rPr>
        <w:t xml:space="preserve">Co-authorship: </w:t>
      </w:r>
      <w:r>
        <w:t xml:space="preserve">Joint authorship on all publications resulting from pilot data</w:t>
      </w:r>
    </w:p>
    <w:p>
      <w:pPr>
        <w:pStyle w:val="ListParagraph"/>
        <w:numPr>
          <w:ilvl w:val="0"/>
          <w:numId w:val="2"/>
        </w:numPr>
      </w:pPr>
      <w:r>
        <w:rPr>
          <w:b/>
          <w:bCs/>
        </w:rPr>
        <w:t xml:space="preserve">Background IP: </w:t>
      </w:r>
      <w:r>
        <w:t xml:space="preserve">Each party retains ownership of pre-existing intellectual property</w:t>
      </w:r>
    </w:p>
    <w:p>
      <w:pPr>
        <w:pStyle w:val="ListParagraph"/>
        <w:numPr>
          <w:ilvl w:val="0"/>
          <w:numId w:val="2"/>
        </w:numPr>
      </w:pPr>
      <w:r>
        <w:rPr>
          <w:b/>
          <w:bCs/>
        </w:rPr>
        <w:t xml:space="preserve">Joint IP: </w:t>
      </w:r>
      <w:r>
        <w:t xml:space="preserve">Novel discoveries from collaboration subject to joint ownership agreement</w:t>
      </w:r>
    </w:p>
    <w:p>
      <w:pPr>
        <w:pStyle w:val="ListParagraph"/>
        <w:numPr>
          <w:ilvl w:val="0"/>
          <w:numId w:val="2"/>
        </w:numPr>
        <w:spacing w:after="200"/>
      </w:pPr>
      <w:r>
        <w:rPr>
          <w:b/>
          <w:bCs/>
        </w:rPr>
        <w:t xml:space="preserve">Publication rights: </w:t>
      </w:r>
      <w:r>
        <w:t xml:space="preserve">30-day review period for confidential information protection</w:t>
      </w:r>
    </w:p>
    <w:p>
      <w:r>
        <w:br w:type="page"/>
      </w:r>
    </w:p>
    <w:p>
      <w:pPr>
        <w:pStyle w:val="Heading1"/>
      </w:pPr>
      <w:r>
        <w:t xml:space="preserve">5. Implementation Timeline</w:t>
      </w:r>
    </w:p>
    <w:p>
      <w:pPr>
        <w:pStyle w:val="Heading2"/>
      </w:pPr>
      <w:r>
        <w:t xml:space="preserve">5.1 Phase 1: Foundation (Months 1-6)</w:t>
      </w:r>
    </w:p>
    <w:p>
      <w:pPr>
        <w:pStyle w:val="ListParagraph"/>
        <w:numPr>
          <w:ilvl w:val="0"/>
          <w:numId w:val="4"/>
        </w:numPr>
      </w:pPr>
      <w:r>
        <w:rPr>
          <w:b/>
          <w:bCs/>
        </w:rPr>
        <w:t xml:space="preserve">Month 1-2: </w:t>
      </w:r>
      <w:r>
        <w:t xml:space="preserve">Partnership agreement execution, IRB submission, technical integration planning</w:t>
      </w:r>
    </w:p>
    <w:p>
      <w:pPr>
        <w:pStyle w:val="ListParagraph"/>
        <w:numPr>
          <w:ilvl w:val="0"/>
          <w:numId w:val="4"/>
        </w:numPr>
      </w:pPr>
      <w:r>
        <w:rPr>
          <w:b/>
          <w:bCs/>
        </w:rPr>
        <w:t xml:space="preserve">Month 2-3: </w:t>
      </w:r>
      <w:r>
        <w:t xml:space="preserve">IRB approval, clinical workflow integration, staff training</w:t>
      </w:r>
    </w:p>
    <w:p>
      <w:pPr>
        <w:pStyle w:val="ListParagraph"/>
        <w:numPr>
          <w:ilvl w:val="0"/>
          <w:numId w:val="4"/>
        </w:numPr>
      </w:pPr>
      <w:r>
        <w:rPr>
          <w:b/>
          <w:bCs/>
        </w:rPr>
        <w:t xml:space="preserve">Month 3-4: </w:t>
      </w:r>
      <w:r>
        <w:t xml:space="preserve">Patient recruitment initiation (target: 50 patients)</w:t>
      </w:r>
    </w:p>
    <w:p>
      <w:pPr>
        <w:pStyle w:val="ListParagraph"/>
        <w:numPr>
          <w:ilvl w:val="0"/>
          <w:numId w:val="4"/>
        </w:numPr>
      </w:pPr>
      <w:r>
        <w:rPr>
          <w:b/>
          <w:bCs/>
        </w:rPr>
        <w:t xml:space="preserve">Month 4-6: </w:t>
      </w:r>
      <w:r>
        <w:t xml:space="preserve">Digital twin generation, baseline data collection, initial engagement monitoring</w:t>
      </w:r>
    </w:p>
    <w:p>
      <w:pPr>
        <w:pStyle w:val="ListParagraph"/>
        <w:numPr>
          <w:ilvl w:val="0"/>
          <w:numId w:val="4"/>
        </w:numPr>
        <w:spacing w:after="200"/>
      </w:pPr>
      <w:r>
        <w:rPr>
          <w:b/>
          <w:bCs/>
        </w:rPr>
        <w:t xml:space="preserve">Month 6: </w:t>
      </w:r>
      <w:r>
        <w:t xml:space="preserve">Interim analysis, Phase 2 go/no-go decision</w:t>
      </w:r>
    </w:p>
    <w:p>
      <w:pPr>
        <w:pStyle w:val="Heading2"/>
      </w:pPr>
      <w:r>
        <w:t xml:space="preserve">5.2 Phase 2: Validation (Months 7-18)</w:t>
      </w:r>
    </w:p>
    <w:p>
      <w:pPr>
        <w:pStyle w:val="ListParagraph"/>
        <w:numPr>
          <w:ilvl w:val="0"/>
          <w:numId w:val="5"/>
        </w:numPr>
      </w:pPr>
      <w:r>
        <w:rPr>
          <w:b/>
          <w:bCs/>
        </w:rPr>
        <w:t xml:space="preserve">Month 7-9: </w:t>
      </w:r>
      <w:r>
        <w:t xml:space="preserve">RCT protocol activation, randomization of additional 200 patients</w:t>
      </w:r>
    </w:p>
    <w:p>
      <w:pPr>
        <w:pStyle w:val="ListParagraph"/>
        <w:numPr>
          <w:ilvl w:val="0"/>
          <w:numId w:val="5"/>
        </w:numPr>
      </w:pPr>
      <w:r>
        <w:rPr>
          <w:b/>
          <w:bCs/>
        </w:rPr>
        <w:t xml:space="preserve">Month 9-12: </w:t>
      </w:r>
      <w:r>
        <w:t xml:space="preserve">Full platform deployment, outcome data collection</w:t>
      </w:r>
    </w:p>
    <w:p>
      <w:pPr>
        <w:pStyle w:val="ListParagraph"/>
        <w:numPr>
          <w:ilvl w:val="0"/>
          <w:numId w:val="5"/>
        </w:numPr>
      </w:pPr>
      <w:r>
        <w:rPr>
          <w:b/>
          <w:bCs/>
        </w:rPr>
        <w:t xml:space="preserve">Month 12-15: </w:t>
      </w:r>
      <w:r>
        <w:t xml:space="preserve">Primary endpoint analysis, preliminary manuscript preparation</w:t>
      </w:r>
    </w:p>
    <w:p>
      <w:pPr>
        <w:pStyle w:val="ListParagraph"/>
        <w:numPr>
          <w:ilvl w:val="0"/>
          <w:numId w:val="5"/>
        </w:numPr>
        <w:spacing w:after="200"/>
      </w:pPr>
      <w:r>
        <w:rPr>
          <w:b/>
          <w:bCs/>
        </w:rPr>
        <w:t xml:space="preserve">Month 15-18: </w:t>
      </w:r>
      <w:r>
        <w:t xml:space="preserve">Secondary endpoint analysis, publication submission, expansion planning</w:t>
      </w:r>
    </w:p>
    <w:p>
      <w:pPr>
        <w:pStyle w:val="Heading2"/>
      </w:pPr>
      <w:r>
        <w:t xml:space="preserve">5.3 Success Metrics</w:t>
      </w:r>
    </w:p>
    <w:p>
      <w:pPr>
        <w:spacing w:after="200"/>
      </w:pPr>
      <w:r>
        <w:t xml:space="preserve">The following quantitative metrics will define success: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CCCCCC" w:sz="1"/>
              <w:left w:val="single" w:color="CCCCCC" w:sz="1"/>
              <w:bottom w:val="single" w:color="CCCCCC" w:sz="1"/>
              <w:right w:val="single" w:color="CCCCCC" w:sz="1"/>
            </w:tcBorders>
            <w:shd w:fill="2c5282" w:val="clear"/>
          </w:tcPr>
          <w:p>
            <w:pPr>
              <w:jc w:val="center"/>
            </w:pPr>
            <w:r>
              <w:rPr>
                <w:b/>
                <w:bCs/>
                <w:color w:val="FFFFFF"/>
              </w:rPr>
              <w:t xml:space="preserve">Metric</w:t>
            </w:r>
          </w:p>
        </w:tc>
        <w:tc>
          <w:tcPr>
            <w:tcW w:type="dxa" w:w="2340"/>
            <w:tcBorders>
              <w:top w:val="single" w:color="CCCCCC" w:sz="1"/>
              <w:left w:val="single" w:color="CCCCCC" w:sz="1"/>
              <w:bottom w:val="single" w:color="CCCCCC" w:sz="1"/>
              <w:right w:val="single" w:color="CCCCCC" w:sz="1"/>
            </w:tcBorders>
            <w:shd w:fill="2c5282" w:val="clear"/>
          </w:tcPr>
          <w:p>
            <w:pPr>
              <w:jc w:val="center"/>
            </w:pPr>
            <w:r>
              <w:rPr>
                <w:b/>
                <w:bCs/>
                <w:color w:val="FFFFFF"/>
              </w:rPr>
              <w:t xml:space="preserve">Phase 1 Target</w:t>
            </w:r>
          </w:p>
        </w:tc>
        <w:tc>
          <w:tcPr>
            <w:tcW w:type="dxa" w:w="2340"/>
            <w:tcBorders>
              <w:top w:val="single" w:color="CCCCCC" w:sz="1"/>
              <w:left w:val="single" w:color="CCCCCC" w:sz="1"/>
              <w:bottom w:val="single" w:color="CCCCCC" w:sz="1"/>
              <w:right w:val="single" w:color="CCCCCC" w:sz="1"/>
            </w:tcBorders>
            <w:shd w:fill="2c5282" w:val="clear"/>
          </w:tcPr>
          <w:p>
            <w:pPr>
              <w:jc w:val="center"/>
            </w:pPr>
            <w:r>
              <w:rPr>
                <w:b/>
                <w:bCs/>
                <w:color w:val="FFFFFF"/>
              </w:rPr>
              <w:t xml:space="preserve">Phase 2 Target</w:t>
            </w:r>
          </w:p>
        </w:tc>
      </w:tr>
      <w:tr>
        <w:tc>
          <w:tcPr>
            <w:tcW w:type="dxa" w:w="4680"/>
            <w:tcBorders>
              <w:top w:val="single" w:color="CCCCCC" w:sz="1"/>
              <w:left w:val="single" w:color="CCCCCC" w:sz="1"/>
              <w:bottom w:val="single" w:color="CCCCCC" w:sz="1"/>
              <w:right w:val="single" w:color="CCCCCC" w:sz="1"/>
            </w:tcBorders>
          </w:tcPr>
          <w:p>
            <w:r>
              <w:t xml:space="preserve">Patient Enrollment Rate</w:t>
            </w:r>
          </w:p>
        </w:tc>
        <w:tc>
          <w:tcPr>
            <w:tcW w:type="dxa" w:w="2340"/>
            <w:tcBorders>
              <w:top w:val="single" w:color="CCCCCC" w:sz="1"/>
              <w:left w:val="single" w:color="CCCCCC" w:sz="1"/>
              <w:bottom w:val="single" w:color="CCCCCC" w:sz="1"/>
              <w:right w:val="single" w:color="CCCCCC" w:sz="1"/>
            </w:tcBorders>
          </w:tcPr>
          <w:p>
            <w:pPr>
              <w:jc w:val="center"/>
            </w:pPr>
            <w:r>
              <w:t xml:space="preserve">&gt; 70%</w:t>
            </w:r>
          </w:p>
        </w:tc>
        <w:tc>
          <w:tcPr>
            <w:tcW w:type="dxa" w:w="2340"/>
            <w:tcBorders>
              <w:top w:val="single" w:color="CCCCCC" w:sz="1"/>
              <w:left w:val="single" w:color="CCCCCC" w:sz="1"/>
              <w:bottom w:val="single" w:color="CCCCCC" w:sz="1"/>
              <w:right w:val="single" w:color="CCCCCC" w:sz="1"/>
            </w:tcBorders>
          </w:tcPr>
          <w:p>
            <w:pPr>
              <w:jc w:val="center"/>
            </w:pPr>
            <w:r>
              <w:t xml:space="preserve">&gt; 80%</w:t>
            </w:r>
          </w:p>
        </w:tc>
      </w:tr>
      <w:tr>
        <w:tc>
          <w:tcPr>
            <w:tcW w:type="dxa" w:w="4680"/>
            <w:tcBorders>
              <w:top w:val="single" w:color="CCCCCC" w:sz="1"/>
              <w:left w:val="single" w:color="CCCCCC" w:sz="1"/>
              <w:bottom w:val="single" w:color="CCCCCC" w:sz="1"/>
              <w:right w:val="single" w:color="CCCCCC" w:sz="1"/>
            </w:tcBorders>
          </w:tcPr>
          <w:p>
            <w:r>
              <w:t xml:space="preserve">Platform Engagement (weekly active)</w:t>
            </w:r>
          </w:p>
        </w:tc>
        <w:tc>
          <w:tcPr>
            <w:tcW w:type="dxa" w:w="2340"/>
            <w:tcBorders>
              <w:top w:val="single" w:color="CCCCCC" w:sz="1"/>
              <w:left w:val="single" w:color="CCCCCC" w:sz="1"/>
              <w:bottom w:val="single" w:color="CCCCCC" w:sz="1"/>
              <w:right w:val="single" w:color="CCCCCC" w:sz="1"/>
            </w:tcBorders>
          </w:tcPr>
          <w:p>
            <w:pPr>
              <w:jc w:val="center"/>
            </w:pPr>
            <w:r>
              <w:t xml:space="preserve">&gt; 60%</w:t>
            </w:r>
          </w:p>
        </w:tc>
        <w:tc>
          <w:tcPr>
            <w:tcW w:type="dxa" w:w="2340"/>
            <w:tcBorders>
              <w:top w:val="single" w:color="CCCCCC" w:sz="1"/>
              <w:left w:val="single" w:color="CCCCCC" w:sz="1"/>
              <w:bottom w:val="single" w:color="CCCCCC" w:sz="1"/>
              <w:right w:val="single" w:color="CCCCCC" w:sz="1"/>
            </w:tcBorders>
          </w:tcPr>
          <w:p>
            <w:pPr>
              <w:jc w:val="center"/>
            </w:pPr>
            <w:r>
              <w:t xml:space="preserve">&gt; 75%</w:t>
            </w:r>
          </w:p>
        </w:tc>
      </w:tr>
      <w:tr>
        <w:tc>
          <w:tcPr>
            <w:tcW w:type="dxa" w:w="4680"/>
            <w:tcBorders>
              <w:top w:val="single" w:color="CCCCCC" w:sz="1"/>
              <w:left w:val="single" w:color="CCCCCC" w:sz="1"/>
              <w:bottom w:val="single" w:color="CCCCCC" w:sz="1"/>
              <w:right w:val="single" w:color="CCCCCC" w:sz="1"/>
            </w:tcBorders>
          </w:tcPr>
          <w:p>
            <w:r>
              <w:t xml:space="preserve">Appointment Adherence Improvement</w:t>
            </w:r>
          </w:p>
        </w:tc>
        <w:tc>
          <w:tcPr>
            <w:tcW w:type="dxa" w:w="2340"/>
            <w:tcBorders>
              <w:top w:val="single" w:color="CCCCCC" w:sz="1"/>
              <w:left w:val="single" w:color="CCCCCC" w:sz="1"/>
              <w:bottom w:val="single" w:color="CCCCCC" w:sz="1"/>
              <w:right w:val="single" w:color="CCCCCC" w:sz="1"/>
            </w:tcBorders>
          </w:tcPr>
          <w:p>
            <w:pPr>
              <w:jc w:val="center"/>
            </w:pPr>
            <w:r>
              <w:t xml:space="preserve">&gt; 10%</w:t>
            </w:r>
          </w:p>
        </w:tc>
        <w:tc>
          <w:tcPr>
            <w:tcW w:type="dxa" w:w="2340"/>
            <w:tcBorders>
              <w:top w:val="single" w:color="CCCCCC" w:sz="1"/>
              <w:left w:val="single" w:color="CCCCCC" w:sz="1"/>
              <w:bottom w:val="single" w:color="CCCCCC" w:sz="1"/>
              <w:right w:val="single" w:color="CCCCCC" w:sz="1"/>
            </w:tcBorders>
          </w:tcPr>
          <w:p>
            <w:pPr>
              <w:jc w:val="center"/>
            </w:pPr>
            <w:r>
              <w:t xml:space="preserve">&gt; 15%</w:t>
            </w:r>
          </w:p>
        </w:tc>
      </w:tr>
      <w:tr>
        <w:tc>
          <w:tcPr>
            <w:tcW w:type="dxa" w:w="4680"/>
            <w:tcBorders>
              <w:top w:val="single" w:color="CCCCCC" w:sz="1"/>
              <w:left w:val="single" w:color="CCCCCC" w:sz="1"/>
              <w:bottom w:val="single" w:color="CCCCCC" w:sz="1"/>
              <w:right w:val="single" w:color="CCCCCC" w:sz="1"/>
            </w:tcBorders>
          </w:tcPr>
          <w:p>
            <w:r>
              <w:t xml:space="preserve">Viral Suppression Rate (treatment arm)</w:t>
            </w:r>
          </w:p>
        </w:tc>
        <w:tc>
          <w:tcPr>
            <w:tcW w:type="dxa" w:w="2340"/>
            <w:tcBorders>
              <w:top w:val="single" w:color="CCCCCC" w:sz="1"/>
              <w:left w:val="single" w:color="CCCCCC" w:sz="1"/>
              <w:bottom w:val="single" w:color="CCCCCC" w:sz="1"/>
              <w:right w:val="single" w:color="CCCCCC" w:sz="1"/>
            </w:tcBorders>
          </w:tcPr>
          <w:p>
            <w:pPr>
              <w:jc w:val="center"/>
            </w:pPr>
            <w:r>
              <w:t xml:space="preserve">Baseline</w:t>
            </w:r>
          </w:p>
        </w:tc>
        <w:tc>
          <w:tcPr>
            <w:tcW w:type="dxa" w:w="2340"/>
            <w:tcBorders>
              <w:top w:val="single" w:color="CCCCCC" w:sz="1"/>
              <w:left w:val="single" w:color="CCCCCC" w:sz="1"/>
              <w:bottom w:val="single" w:color="CCCCCC" w:sz="1"/>
              <w:right w:val="single" w:color="CCCCCC" w:sz="1"/>
            </w:tcBorders>
          </w:tcPr>
          <w:p>
            <w:pPr>
              <w:jc w:val="center"/>
            </w:pPr>
            <w:r>
              <w:t xml:space="preserve">&gt; 85%</w:t>
            </w:r>
          </w:p>
        </w:tc>
      </w:tr>
      <w:tr>
        <w:tc>
          <w:tcPr>
            <w:tcW w:type="dxa" w:w="4680"/>
            <w:tcBorders>
              <w:top w:val="single" w:color="CCCCCC" w:sz="1"/>
              <w:left w:val="single" w:color="CCCCCC" w:sz="1"/>
              <w:bottom w:val="single" w:color="CCCCCC" w:sz="1"/>
              <w:right w:val="single" w:color="CCCCCC" w:sz="1"/>
            </w:tcBorders>
          </w:tcPr>
          <w:p>
            <w:r>
              <w:t xml:space="preserve">System Uptime</w:t>
            </w:r>
          </w:p>
        </w:tc>
        <w:tc>
          <w:tcPr>
            <w:tcW w:type="dxa" w:w="2340"/>
            <w:tcBorders>
              <w:top w:val="single" w:color="CCCCCC" w:sz="1"/>
              <w:left w:val="single" w:color="CCCCCC" w:sz="1"/>
              <w:bottom w:val="single" w:color="CCCCCC" w:sz="1"/>
              <w:right w:val="single" w:color="CCCCCC" w:sz="1"/>
            </w:tcBorders>
          </w:tcPr>
          <w:p>
            <w:pPr>
              <w:jc w:val="center"/>
            </w:pPr>
            <w:r>
              <w:t xml:space="preserve">&gt; 99.5%</w:t>
            </w:r>
          </w:p>
        </w:tc>
        <w:tc>
          <w:tcPr>
            <w:tcW w:type="dxa" w:w="2340"/>
            <w:tcBorders>
              <w:top w:val="single" w:color="CCCCCC" w:sz="1"/>
              <w:left w:val="single" w:color="CCCCCC" w:sz="1"/>
              <w:bottom w:val="single" w:color="CCCCCC" w:sz="1"/>
              <w:right w:val="single" w:color="CCCCCC" w:sz="1"/>
            </w:tcBorders>
          </w:tcPr>
          <w:p>
            <w:pPr>
              <w:jc w:val="center"/>
            </w:pPr>
            <w:r>
              <w:t xml:space="preserve">&gt; 99.9%</w:t>
            </w:r>
          </w:p>
        </w:tc>
      </w:tr>
      <w:tr>
        <w:tc>
          <w:tcPr>
            <w:tcW w:type="dxa" w:w="4680"/>
            <w:tcBorders>
              <w:top w:val="single" w:color="CCCCCC" w:sz="1"/>
              <w:left w:val="single" w:color="CCCCCC" w:sz="1"/>
              <w:bottom w:val="single" w:color="CCCCCC" w:sz="1"/>
              <w:right w:val="single" w:color="CCCCCC" w:sz="1"/>
            </w:tcBorders>
          </w:tcPr>
          <w:p>
            <w:r>
              <w:t xml:space="preserve">Security Incidents</w:t>
            </w:r>
          </w:p>
        </w:tc>
        <w:tc>
          <w:tcPr>
            <w:tcW w:type="dxa" w:w="2340"/>
            <w:tcBorders>
              <w:top w:val="single" w:color="CCCCCC" w:sz="1"/>
              <w:left w:val="single" w:color="CCCCCC" w:sz="1"/>
              <w:bottom w:val="single" w:color="CCCCCC" w:sz="1"/>
              <w:right w:val="single" w:color="CCCCCC" w:sz="1"/>
            </w:tcBorders>
          </w:tcPr>
          <w:p>
            <w:pPr>
              <w:jc w:val="center"/>
            </w:pPr>
            <w:r>
              <w:t xml:space="preserve">Zero</w:t>
            </w:r>
          </w:p>
        </w:tc>
        <w:tc>
          <w:tcPr>
            <w:tcW w:type="dxa" w:w="2340"/>
            <w:tcBorders>
              <w:top w:val="single" w:color="CCCCCC" w:sz="1"/>
              <w:left w:val="single" w:color="CCCCCC" w:sz="1"/>
              <w:bottom w:val="single" w:color="CCCCCC" w:sz="1"/>
              <w:right w:val="single" w:color="CCCCCC" w:sz="1"/>
            </w:tcBorders>
          </w:tcPr>
          <w:p>
            <w:pPr>
              <w:jc w:val="center"/>
            </w:pPr>
            <w:r>
              <w:t xml:space="preserve">Zero</w:t>
            </w:r>
          </w:p>
        </w:tc>
      </w:tr>
    </w:tbl>
    <w:p>
      <w:pPr>
        <w:spacing w:before="400"/>
      </w:pPr>
    </w:p>
    <w:p>
      <w:r>
        <w:br w:type="page"/>
      </w:r>
    </w:p>
    <w:p>
      <w:pPr>
        <w:pStyle w:val="Heading1"/>
      </w:pPr>
      <w:r>
        <w:t xml:space="preserve">6. Next Steps</w:t>
      </w:r>
    </w:p>
    <w:p>
      <w:pPr>
        <w:spacing w:after="200"/>
      </w:pPr>
      <w:r>
        <w:t xml:space="preserve">We respectfully request the opportunity to present this proposal in person and discuss alignment with UM Miller School of Medicine's strategic priorities. The following next steps would advance partnership discussions:</w:t>
      </w:r>
    </w:p>
    <w:p>
      <w:pPr>
        <w:pStyle w:val="ListParagraph"/>
        <w:numPr>
          <w:ilvl w:val="0"/>
          <w:numId w:val="6"/>
        </w:numPr>
      </w:pPr>
      <w:r>
        <w:rPr>
          <w:b/>
          <w:bCs/>
        </w:rPr>
        <w:t xml:space="preserve">Introductory Call (Week 1): </w:t>
      </w:r>
      <w:r>
        <w:t xml:space="preserve">30-minute virtual meeting with appropriate department leadership to discuss mutual interests</w:t>
      </w:r>
    </w:p>
    <w:p>
      <w:pPr>
        <w:pStyle w:val="ListParagraph"/>
        <w:numPr>
          <w:ilvl w:val="0"/>
          <w:numId w:val="6"/>
        </w:numPr>
      </w:pPr>
      <w:r>
        <w:rPr>
          <w:b/>
          <w:bCs/>
        </w:rPr>
        <w:t xml:space="preserve">Technical Demonstration (Week 2-3): </w:t>
      </w:r>
      <w:r>
        <w:t xml:space="preserve">Live platform demonstration for clinical and IT stakeholders</w:t>
      </w:r>
    </w:p>
    <w:p>
      <w:pPr>
        <w:pStyle w:val="ListParagraph"/>
        <w:numPr>
          <w:ilvl w:val="0"/>
          <w:numId w:val="6"/>
        </w:numPr>
      </w:pPr>
      <w:r>
        <w:rPr>
          <w:b/>
          <w:bCs/>
        </w:rPr>
        <w:t xml:space="preserve">Site Visit (Week 4-5): </w:t>
      </w:r>
      <w:r>
        <w:t xml:space="preserve">In-person meeting to discuss workflow integration and clinical requirements</w:t>
      </w:r>
    </w:p>
    <w:p>
      <w:pPr>
        <w:pStyle w:val="ListParagraph"/>
        <w:numPr>
          <w:ilvl w:val="0"/>
          <w:numId w:val="6"/>
        </w:numPr>
      </w:pPr>
      <w:r>
        <w:rPr>
          <w:b/>
          <w:bCs/>
        </w:rPr>
        <w:t xml:space="preserve">Letter of Intent (Week 6-8): </w:t>
      </w:r>
      <w:r>
        <w:t xml:space="preserve">Non-binding LOI outlining partnership parameters</w:t>
      </w:r>
    </w:p>
    <w:p>
      <w:pPr>
        <w:pStyle w:val="ListParagraph"/>
        <w:numPr>
          <w:ilvl w:val="0"/>
          <w:numId w:val="6"/>
        </w:numPr>
        <w:spacing w:after="400"/>
      </w:pPr>
      <w:r>
        <w:rPr>
          <w:b/>
          <w:bCs/>
        </w:rPr>
        <w:t xml:space="preserve">Partnership Agreement (Week 9-12): </w:t>
      </w:r>
      <w:r>
        <w:t xml:space="preserve">Formal agreement execution with IRB submission initiation</w:t>
      </w:r>
    </w:p>
    <w:p>
      <w:pPr>
        <w:pStyle w:val="Heading1"/>
      </w:pPr>
      <w:r>
        <w:t xml:space="preserve">7. Contact Information</w:t>
      </w:r>
    </w:p>
    <w:p>
      <w:pPr>
        <w:spacing w:after="100"/>
      </w:pPr>
      <w:r>
        <w:rPr>
          <w:b/>
          <w:bCs/>
        </w:rPr>
        <w:t xml:space="preserve">Primary Contact:</w:t>
      </w:r>
    </w:p>
    <w:p>
      <w:pPr>
        <w:spacing w:after="100"/>
      </w:pPr>
      <w:r>
        <w:t xml:space="preserve">Jason M. Jarmacz</w:t>
      </w:r>
    </w:p>
    <w:p>
      <w:pPr>
        <w:spacing w:after="100"/>
      </w:pPr>
      <w:r>
        <w:t xml:space="preserve">Principal Investigator and Chief Evolution Strategist</w:t>
      </w:r>
    </w:p>
    <w:p>
      <w:pPr>
        <w:spacing w:after="100"/>
      </w:pPr>
      <w:r>
        <w:t xml:space="preserve">Integrated Health Empowerment Program (IHEP)</w:t>
      </w:r>
    </w:p>
    <w:p>
      <w:pPr>
        <w:spacing w:after="100"/>
      </w:pPr>
      <w:r>
        <w:t xml:space="preserve">Phone: (917) 566-8112</w:t>
      </w:r>
    </w:p>
    <w:p>
      <w:pPr>
        <w:spacing w:after="100"/>
      </w:pPr>
      <w:r>
        <w:t xml:space="preserve">Email: partnerships@ihep.org</w:t>
      </w:r>
    </w:p>
    <w:p>
      <w:pPr>
        <w:spacing w:after="400"/>
      </w:pPr>
      <w:r>
        <w:t xml:space="preserve">Web: www.ihep.org</w:t>
      </w:r>
    </w:p>
    <w:p>
      <w:pPr>
        <w:spacing w:before="400" w:after="200"/>
      </w:pPr>
      <w:r>
        <w:t xml:space="preserve">We appreciate UM Miller School of Medicine's consideration of this partnership proposal and look forward to the opportunity to discuss how IHEP can support your research mission while advancing HIV care outcomes for the South Florida community.</w:t>
      </w:r>
    </w:p>
    <w:p>
      <w:pPr>
        <w:spacing w:before="400"/>
      </w:pPr>
      <w:r>
        <w:rPr>
          <w:i/>
          <w:iCs/>
        </w:rPr>
        <w:t xml:space="preserve">Respectfully submitted,</w:t>
      </w:r>
    </w:p>
    <w:p>
      <w:pPr>
        <w:spacing w:before="400"/>
      </w:pPr>
      <w:r>
        <w:rPr>
          <w:b/>
          <w:bCs/>
        </w:rPr>
        <w:t xml:space="preserve">Jason M. Jarmacz</w:t>
      </w:r>
    </w:p>
    <w:p>
      <w:r>
        <w:t xml:space="preserve">Principal Investigator, IHEP</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r>
      <w:rPr>
        <w:color w:val="666666"/>
        <w:sz w:val="18"/>
        <w:szCs w:val="18"/>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IHEP Academic Research Partnership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1a365d"/>
      <w:sz w:val="52"/>
      <w:szCs w:val="52"/>
    </w:rPr>
  </w:style>
  <w:style w:type="paragraph" w:styleId="Heading1">
    <w:name w:val="Heading 1"/>
    <w:basedOn w:val="Normal"/>
    <w:next w:val="Normal"/>
    <w:qFormat/>
    <w:pPr>
      <w:spacing w:before="360" w:after="200"/>
      <w:outlineLvl w:val="0"/>
    </w:pPr>
    <w:rPr>
      <w:rFonts w:ascii="Arial" w:cs="Arial" w:eastAsia="Arial" w:hAnsi="Arial"/>
      <w:b/>
      <w:bCs/>
      <w:color w:val="1a365d"/>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2c5282"/>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2025-12-03T16:24:28.641Z</dcterms:created>
  <dcterms:modified xsi:type="dcterms:W3CDTF">2025-12-03T16:24:28.642Z</dcterms:modified>
</cp:coreProperties>
</file>

<file path=docProps/custom.xml><?xml version="1.0" encoding="utf-8"?>
<Properties xmlns="http://schemas.openxmlformats.org/officeDocument/2006/custom-properties" xmlns:vt="http://schemas.openxmlformats.org/officeDocument/2006/docPropsVTypes"/>
</file>