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pStyle w:val="Title"/>
        <w:jc w:val="center"/>
      </w:pPr>
      <w:r>
        <w:t>IHEP Complete Due Diligence Package</w:t>
      </w:r>
    </w:p>
    <w:p>
      <w:pPr>
        <w:pStyle w:val="Heading1"/>
      </w:pPr>
      <w:r>
        <w:t>Master Index &amp; Executive Summary</w:t>
      </w:r>
    </w:p>
    <w:p>
      <w:pPr/>
      <w:r>
        <w:t>Classification: Investor Due Diligence - Confidential</w:t>
        <w:br/>
        <w:t>Package Version: Final</w:t>
        <w:br/>
        <w:t>Date: November 26, 2025</w:t>
        <w:br/>
        <w:t>Total Materials: 10 PDFs + 1 Interactive Dashboard</w:t>
      </w:r>
    </w:p>
    <w:p>
      <w:pPr>
        <w:pStyle w:val="Heading2"/>
      </w:pPr>
      <w:r>
        <w:t>Overview</w:t>
      </w:r>
    </w:p>
    <w:p>
      <w:pPr/>
      <w:r>
        <w:t>IHEP addresses a $28.7B market opportunity at the intersection of healthcare innovation, health equity, and financial returns. This package provides complete transparency into technology, market opportunity, financial projections, regulatory pathway, clinical validation, operational execution, and intellectual property strategy.</w:t>
      </w:r>
    </w:p>
    <w:p>
      <w:pPr>
        <w:pStyle w:val="Heading2"/>
      </w:pPr>
      <w:r>
        <w:t>Key Financial Metrics Summary</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Pr>
                <w:b/>
              </w:rPr>
              <w:t>Metric</w:t>
            </w:r>
          </w:p>
        </w:tc>
        <w:tc>
          <w:tcPr>
            <w:tcW w:type="dxa" w:w="3120"/>
          </w:tcPr>
          <w:p>
            <w:pPr>
              <w:jc w:val="center"/>
            </w:pPr>
            <w:r>
              <w:rPr>
                <w:b/>
              </w:rPr>
              <w:t>Value</w:t>
            </w:r>
          </w:p>
        </w:tc>
        <w:tc>
          <w:tcPr>
            <w:tcW w:type="dxa" w:w="3120"/>
          </w:tcPr>
          <w:p>
            <w:pPr>
              <w:jc w:val="center"/>
            </w:pPr>
            <w:r>
              <w:rPr>
                <w:b/>
              </w:rPr>
              <w:t>Status</w:t>
            </w:r>
          </w:p>
        </w:tc>
      </w:tr>
      <w:tr>
        <w:tc>
          <w:tcPr>
            <w:tcW w:type="dxa" w:w="3120"/>
          </w:tcPr>
          <w:p>
            <w:pPr>
              <w:jc w:val="center"/>
            </w:pPr>
            <w:r>
              <w:t>Seed Raise</w:t>
            </w:r>
          </w:p>
        </w:tc>
        <w:tc>
          <w:tcPr>
            <w:tcW w:type="dxa" w:w="3120"/>
          </w:tcPr>
          <w:p>
            <w:pPr>
              <w:jc w:val="center"/>
            </w:pPr>
            <w:r>
              <w:t>$3.5M</w:t>
            </w:r>
          </w:p>
        </w:tc>
        <w:tc>
          <w:tcPr>
            <w:tcW w:type="dxa" w:w="3120"/>
          </w:tcPr>
          <w:p>
            <w:pPr>
              <w:jc w:val="center"/>
            </w:pPr>
            <w:r>
              <w:t>Target Q4 2025</w:t>
            </w:r>
          </w:p>
        </w:tc>
      </w:tr>
      <w:tr>
        <w:tc>
          <w:tcPr>
            <w:tcW w:type="dxa" w:w="3120"/>
          </w:tcPr>
          <w:p>
            <w:pPr>
              <w:jc w:val="center"/>
            </w:pPr>
            <w:r>
              <w:t>Seed Valuation</w:t>
            </w:r>
          </w:p>
        </w:tc>
        <w:tc>
          <w:tcPr>
            <w:tcW w:type="dxa" w:w="3120"/>
          </w:tcPr>
          <w:p>
            <w:pPr>
              <w:jc w:val="center"/>
            </w:pPr>
            <w:r>
              <w:t>$12M pre</w:t>
            </w:r>
          </w:p>
        </w:tc>
        <w:tc>
          <w:tcPr>
            <w:tcW w:type="dxa" w:w="3120"/>
          </w:tcPr>
          <w:p>
            <w:pPr>
              <w:jc w:val="center"/>
            </w:pPr>
            <w:r>
              <w:t>Standard terms</w:t>
            </w:r>
          </w:p>
        </w:tc>
      </w:tr>
      <w:tr>
        <w:tc>
          <w:tcPr>
            <w:tcW w:type="dxa" w:w="3120"/>
          </w:tcPr>
          <w:p>
            <w:pPr>
              <w:jc w:val="center"/>
            </w:pPr>
            <w:r>
              <w:t>Seed Investor Return</w:t>
            </w:r>
          </w:p>
        </w:tc>
        <w:tc>
          <w:tcPr>
            <w:tcW w:type="dxa" w:w="3120"/>
          </w:tcPr>
          <w:p>
            <w:pPr>
              <w:jc w:val="center"/>
            </w:pPr>
            <w:r>
              <w:t>3.6x–12.9x MOIC</w:t>
            </w:r>
          </w:p>
        </w:tc>
        <w:tc>
          <w:tcPr>
            <w:tcW w:type="dxa" w:w="3120"/>
          </w:tcPr>
          <w:p>
            <w:pPr>
              <w:jc w:val="center"/>
            </w:pPr>
            <w:r>
              <w:t>Base–Aggressive</w:t>
            </w:r>
          </w:p>
        </w:tc>
      </w:tr>
      <w:tr>
        <w:tc>
          <w:tcPr>
            <w:tcW w:type="dxa" w:w="3120"/>
          </w:tcPr>
          <w:p>
            <w:pPr>
              <w:jc w:val="center"/>
            </w:pPr>
            <w:r>
              <w:t>Seed IRR</w:t>
            </w:r>
          </w:p>
        </w:tc>
        <w:tc>
          <w:tcPr>
            <w:tcW w:type="dxa" w:w="3120"/>
          </w:tcPr>
          <w:p>
            <w:pPr>
              <w:jc w:val="center"/>
            </w:pPr>
            <w:r>
              <w:t>13.6%–29.1%</w:t>
            </w:r>
          </w:p>
        </w:tc>
        <w:tc>
          <w:tcPr>
            <w:tcW w:type="dxa" w:w="3120"/>
          </w:tcPr>
          <w:p>
            <w:pPr>
              <w:jc w:val="center"/>
            </w:pPr>
            <w:r>
              <w:t>Base–Aggressive</w:t>
            </w:r>
          </w:p>
        </w:tc>
      </w:tr>
      <w:tr>
        <w:tc>
          <w:tcPr>
            <w:tcW w:type="dxa" w:w="3120"/>
          </w:tcPr>
          <w:p>
            <w:pPr>
              <w:jc w:val="center"/>
            </w:pPr>
            <w:r>
              <w:t>Total Capital Needed</w:t>
            </w:r>
          </w:p>
        </w:tc>
        <w:tc>
          <w:tcPr>
            <w:tcW w:type="dxa" w:w="3120"/>
          </w:tcPr>
          <w:p>
            <w:pPr>
              <w:jc w:val="center"/>
            </w:pPr>
            <w:r>
              <w:t>$102.1M</w:t>
            </w:r>
          </w:p>
        </w:tc>
        <w:tc>
          <w:tcPr>
            <w:tcW w:type="dxa" w:w="3120"/>
          </w:tcPr>
          <w:p>
            <w:pPr>
              <w:jc w:val="center"/>
            </w:pPr>
            <w:r>
              <w:t>Fully funded via mix</w:t>
            </w:r>
          </w:p>
        </w:tc>
      </w:tr>
      <w:tr>
        <w:tc>
          <w:tcPr>
            <w:tcW w:type="dxa" w:w="3120"/>
          </w:tcPr>
          <w:p>
            <w:pPr>
              <w:jc w:val="center"/>
            </w:pPr>
            <w:r>
              <w:t>Year 5 ARR</w:t>
            </w:r>
          </w:p>
        </w:tc>
        <w:tc>
          <w:tcPr>
            <w:tcW w:type="dxa" w:w="3120"/>
          </w:tcPr>
          <w:p>
            <w:pPr>
              <w:jc w:val="center"/>
            </w:pPr>
            <w:r>
              <w:t>$3.6M</w:t>
            </w:r>
          </w:p>
        </w:tc>
        <w:tc>
          <w:tcPr>
            <w:tcW w:type="dxa" w:w="3120"/>
          </w:tcPr>
          <w:p>
            <w:pPr>
              <w:jc w:val="center"/>
            </w:pPr>
            <w:r>
              <w:t>Conservative</w:t>
            </w:r>
          </w:p>
        </w:tc>
      </w:tr>
      <w:tr>
        <w:tc>
          <w:tcPr>
            <w:tcW w:type="dxa" w:w="3120"/>
          </w:tcPr>
          <w:p>
            <w:pPr>
              <w:jc w:val="center"/>
            </w:pPr>
            <w:r>
              <w:t>Year 10 ARR</w:t>
            </w:r>
          </w:p>
        </w:tc>
        <w:tc>
          <w:tcPr>
            <w:tcW w:type="dxa" w:w="3120"/>
          </w:tcPr>
          <w:p>
            <w:pPr>
              <w:jc w:val="center"/>
            </w:pPr>
            <w:r>
              <w:t>$35M</w:t>
            </w:r>
          </w:p>
        </w:tc>
        <w:tc>
          <w:tcPr>
            <w:tcW w:type="dxa" w:w="3120"/>
          </w:tcPr>
          <w:p>
            <w:pPr>
              <w:jc w:val="center"/>
            </w:pPr>
            <w:r>
              <w:t>Multiple exit options</w:t>
            </w:r>
          </w:p>
        </w:tc>
      </w:tr>
      <w:tr>
        <w:tc>
          <w:tcPr>
            <w:tcW w:type="dxa" w:w="3120"/>
          </w:tcPr>
          <w:p>
            <w:pPr>
              <w:jc w:val="center"/>
            </w:pPr>
            <w:r>
              <w:t>Break-even</w:t>
            </w:r>
          </w:p>
        </w:tc>
        <w:tc>
          <w:tcPr>
            <w:tcW w:type="dxa" w:w="3120"/>
          </w:tcPr>
          <w:p>
            <w:pPr>
              <w:jc w:val="center"/>
            </w:pPr>
            <w:r>
              <w:t>Year 8</w:t>
            </w:r>
          </w:p>
        </w:tc>
        <w:tc>
          <w:tcPr>
            <w:tcW w:type="dxa" w:w="3120"/>
          </w:tcPr>
          <w:p>
            <w:pPr>
              <w:jc w:val="center"/>
            </w:pPr>
            <w:r>
              <w:t>18,000 patients</w:t>
            </w:r>
          </w:p>
        </w:tc>
      </w:tr>
      <w:tr>
        <w:tc>
          <w:tcPr>
            <w:tcW w:type="dxa" w:w="3120"/>
          </w:tcPr>
          <w:p>
            <w:pPr>
              <w:jc w:val="center"/>
            </w:pPr>
            <w:r>
              <w:t>10-Year Revenue</w:t>
            </w:r>
          </w:p>
        </w:tc>
        <w:tc>
          <w:tcPr>
            <w:tcW w:type="dxa" w:w="3120"/>
          </w:tcPr>
          <w:p>
            <w:pPr>
              <w:jc w:val="center"/>
            </w:pPr>
            <w:r>
              <w:t>$143.5M</w:t>
            </w:r>
          </w:p>
        </w:tc>
        <w:tc>
          <w:tcPr>
            <w:tcW w:type="dxa" w:w="3120"/>
          </w:tcPr>
          <w:p>
            <w:pPr>
              <w:jc w:val="center"/>
            </w:pPr>
            <w:r>
              <w:t>Multiple streams</w:t>
            </w:r>
          </w:p>
        </w:tc>
      </w:tr>
      <w:tr>
        <w:tc>
          <w:tcPr>
            <w:tcW w:type="dxa" w:w="3120"/>
          </w:tcPr>
          <w:p>
            <w:pPr>
              <w:jc w:val="center"/>
            </w:pPr>
            <w:r>
              <w:t>Unit Economics</w:t>
            </w:r>
          </w:p>
        </w:tc>
        <w:tc>
          <w:tcPr>
            <w:tcW w:type="dxa" w:w="3120"/>
          </w:tcPr>
          <w:p>
            <w:pPr>
              <w:jc w:val="center"/>
            </w:pPr>
            <w:r>
              <w:t>LTV $3,510, CAC $432</w:t>
            </w:r>
          </w:p>
        </w:tc>
        <w:tc>
          <w:tcPr>
            <w:tcW w:type="dxa" w:w="3120"/>
          </w:tcPr>
          <w:p>
            <w:pPr>
              <w:jc w:val="center"/>
            </w:pPr>
            <w:r>
              <w:t>8.1:1 ratio</w:t>
            </w:r>
          </w:p>
        </w:tc>
      </w:tr>
      <w:tr>
        <w:tc>
          <w:tcPr>
            <w:tcW w:type="dxa" w:w="3120"/>
          </w:tcPr>
          <w:p>
            <w:pPr>
              <w:jc w:val="center"/>
            </w:pPr>
            <w:r>
              <w:t>Capital Efficiency</w:t>
            </w:r>
          </w:p>
        </w:tc>
        <w:tc>
          <w:tcPr>
            <w:tcW w:type="dxa" w:w="3120"/>
          </w:tcPr>
          <w:p>
            <w:pPr>
              <w:jc w:val="center"/>
            </w:pPr>
            <w:r>
              <w:t>3.85x per $1 ARR</w:t>
            </w:r>
          </w:p>
        </w:tc>
        <w:tc>
          <w:tcPr>
            <w:tcW w:type="dxa" w:w="3120"/>
          </w:tcPr>
          <w:p>
            <w:pPr>
              <w:jc w:val="center"/>
            </w:pPr>
            <w:r>
              <w:t>34–63% better than peers</w:t>
            </w:r>
          </w:p>
        </w:tc>
      </w:tr>
    </w:tbl>
    <w:p>
      <w:pPr/>
      <w:r>
        <w:t>Financial Charts embedded separately.</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