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985" w:rsidRDefault="001D0098">
      <w:r>
        <w:t>Salesforce 101 – 10.7</w:t>
      </w:r>
      <w:r w:rsidR="00FF5985">
        <w:t>.11</w:t>
      </w:r>
    </w:p>
    <w:p w:rsidR="00FF5985" w:rsidRPr="00FE2078" w:rsidRDefault="00785D8C" w:rsidP="00FF5985">
      <w:pPr>
        <w:jc w:val="center"/>
        <w:rPr>
          <w:b/>
          <w:i/>
          <w:color w:val="000080"/>
        </w:rPr>
      </w:pPr>
      <w:r>
        <w:rPr>
          <w:b/>
          <w:i/>
          <w:color w:val="000080"/>
        </w:rPr>
        <w:t>Sales Call</w:t>
      </w:r>
      <w:r w:rsidR="00FF5985" w:rsidRPr="00FE2078">
        <w:rPr>
          <w:b/>
          <w:i/>
          <w:color w:val="000080"/>
        </w:rPr>
        <w:t xml:space="preserve"> Stats Button</w:t>
      </w:r>
    </w:p>
    <w:p w:rsidR="00FF5985" w:rsidRDefault="00FF5985" w:rsidP="00FF5985">
      <w:pPr>
        <w:jc w:val="center"/>
      </w:pPr>
    </w:p>
    <w:p w:rsidR="00FF5985" w:rsidRDefault="00AD7B38" w:rsidP="00FF5985">
      <w:pPr>
        <w:jc w:val="center"/>
        <w:rPr>
          <w:b/>
          <w:color w:val="000080"/>
        </w:rPr>
      </w:pPr>
      <w:r>
        <w:rPr>
          <w:b/>
          <w:noProof/>
          <w:color w:val="000080"/>
        </w:rPr>
        <w:pict>
          <v:oval id="_x0000_s1028" style="position:absolute;left:0;text-align:left;margin-left:284.85pt;margin-top:25.2pt;width:81pt;height:27pt;z-index:251655168" filled="f" strokecolor="red"/>
        </w:pict>
      </w:r>
      <w:r w:rsidR="00785D8C">
        <w:rPr>
          <w:b/>
          <w:noProof/>
          <w:color w:val="000080"/>
        </w:rPr>
        <w:drawing>
          <wp:inline distT="0" distB="0" distL="0" distR="0">
            <wp:extent cx="6858000" cy="60595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5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0F5" w:rsidRDefault="006850F5" w:rsidP="00FF5985">
      <w:pPr>
        <w:jc w:val="center"/>
        <w:rPr>
          <w:b/>
          <w:color w:val="000080"/>
        </w:rPr>
      </w:pPr>
    </w:p>
    <w:p w:rsidR="001C5B8F" w:rsidRDefault="001C5B8F" w:rsidP="00FF5985">
      <w:pPr>
        <w:jc w:val="center"/>
        <w:rPr>
          <w:b/>
          <w:color w:val="000080"/>
        </w:rPr>
      </w:pPr>
    </w:p>
    <w:p w:rsidR="001C5B8F" w:rsidRPr="006850F5" w:rsidRDefault="001C5B8F" w:rsidP="00DF18BD">
      <w:pPr>
        <w:numPr>
          <w:ilvl w:val="0"/>
          <w:numId w:val="2"/>
        </w:numPr>
        <w:outlineLvl w:val="1"/>
        <w:rPr>
          <w:rFonts w:ascii="Verdana" w:hAnsi="Verdana" w:cs="Arial"/>
          <w:b/>
          <w:bCs/>
          <w:color w:val="222222"/>
          <w:kern w:val="36"/>
          <w:sz w:val="18"/>
          <w:szCs w:val="18"/>
        </w:rPr>
      </w:pPr>
      <w:r w:rsidRPr="00AF0C4E">
        <w:rPr>
          <w:color w:val="000080"/>
        </w:rPr>
        <w:t>At the top of every account detail page, there is</w:t>
      </w:r>
      <w:r w:rsidR="00785D8C">
        <w:rPr>
          <w:color w:val="000080"/>
        </w:rPr>
        <w:t xml:space="preserve"> a new button called Sales Call</w:t>
      </w:r>
      <w:r>
        <w:rPr>
          <w:color w:val="000080"/>
        </w:rPr>
        <w:t xml:space="preserve"> Stats</w:t>
      </w:r>
      <w:r w:rsidRPr="00AF0C4E">
        <w:rPr>
          <w:color w:val="000080"/>
        </w:rPr>
        <w:t>. When you click on this button it brings you to the report</w:t>
      </w:r>
      <w:r w:rsidRPr="00DF18BD">
        <w:rPr>
          <w:color w:val="333399"/>
        </w:rPr>
        <w:t xml:space="preserve"> </w:t>
      </w:r>
      <w:r w:rsidRPr="00DF18BD">
        <w:rPr>
          <w:color w:val="000080"/>
        </w:rPr>
        <w:t>“</w:t>
      </w:r>
      <w:r w:rsidR="00785D8C">
        <w:rPr>
          <w:color w:val="000080"/>
        </w:rPr>
        <w:t>Sales Calls Stats.</w:t>
      </w:r>
      <w:r w:rsidRPr="00DF18BD">
        <w:rPr>
          <w:color w:val="000080"/>
        </w:rPr>
        <w:t>”</w:t>
      </w:r>
      <w:r w:rsidRPr="00DF18BD">
        <w:rPr>
          <w:color w:val="333399"/>
        </w:rPr>
        <w:t xml:space="preserve"> </w:t>
      </w:r>
    </w:p>
    <w:p w:rsidR="006850F5" w:rsidRPr="00DF18BD" w:rsidRDefault="006850F5" w:rsidP="006850F5">
      <w:pPr>
        <w:ind w:left="720"/>
        <w:outlineLvl w:val="1"/>
        <w:rPr>
          <w:rFonts w:ascii="Verdana" w:hAnsi="Verdana" w:cs="Arial"/>
          <w:b/>
          <w:bCs/>
          <w:color w:val="222222"/>
          <w:kern w:val="36"/>
          <w:sz w:val="18"/>
          <w:szCs w:val="18"/>
        </w:rPr>
      </w:pPr>
    </w:p>
    <w:p w:rsidR="006C3713" w:rsidRPr="006850F5" w:rsidRDefault="006850F5" w:rsidP="006850F5">
      <w:pPr>
        <w:numPr>
          <w:ilvl w:val="0"/>
          <w:numId w:val="2"/>
        </w:numPr>
        <w:outlineLvl w:val="1"/>
        <w:rPr>
          <w:rFonts w:ascii="Verdana" w:hAnsi="Verdana" w:cs="Arial"/>
          <w:b/>
          <w:bCs/>
          <w:color w:val="222222"/>
          <w:kern w:val="36"/>
          <w:sz w:val="18"/>
          <w:szCs w:val="18"/>
        </w:rPr>
      </w:pPr>
      <w:r w:rsidRPr="006850F5">
        <w:rPr>
          <w:color w:val="333399"/>
        </w:rPr>
        <w:t xml:space="preserve">This is a great report to bring with you when you visit accounts. </w:t>
      </w:r>
    </w:p>
    <w:p w:rsidR="006C3713" w:rsidRDefault="006C3713" w:rsidP="001C5B8F"/>
    <w:p w:rsidR="006C3713" w:rsidRDefault="00AD7B38" w:rsidP="006850F5">
      <w:pPr>
        <w:jc w:val="right"/>
      </w:pPr>
      <w:r w:rsidRPr="00AD7B38">
        <w:rPr>
          <w:rFonts w:ascii="Verdana" w:hAnsi="Verdana" w:cs="Arial"/>
          <w:b/>
          <w:bCs/>
          <w:noProof/>
          <w:color w:val="222222"/>
          <w:kern w:val="36"/>
          <w:sz w:val="18"/>
          <w:szCs w:val="18"/>
        </w:rPr>
        <w:pict>
          <v:oval id="_x0000_s1029" style="position:absolute;left:0;text-align:left;margin-left:342pt;margin-top:3.6pt;width:198pt;height:81pt;z-index:251656192" filled="f" strokecolor="red"/>
        </w:pict>
      </w:r>
      <w:r w:rsidRPr="00AD7B38">
        <w:rPr>
          <w:rFonts w:ascii="Verdana" w:hAnsi="Verdana" w:cs="Arial"/>
          <w:b/>
          <w:bCs/>
          <w:noProof/>
          <w:color w:val="222222"/>
          <w:kern w:val="36"/>
          <w:sz w:val="18"/>
          <w:szCs w:val="18"/>
        </w:rPr>
        <w:pict>
          <v:line id="_x0000_s1031" style="position:absolute;left:0;text-align:left;flip:y;z-index:251658240" from="516.75pt,67.55pt" to="516.75pt,91.55pt">
            <v:stroke endarrow="block"/>
          </v:line>
        </w:pict>
      </w:r>
      <w:r w:rsidR="006850F5">
        <w:rPr>
          <w:noProof/>
        </w:rPr>
        <w:drawing>
          <wp:inline distT="0" distB="0" distL="0" distR="0">
            <wp:extent cx="3286125" cy="952500"/>
            <wp:effectExtent l="19050" t="0" r="9525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713" w:rsidRDefault="006C3713" w:rsidP="001C5B8F"/>
    <w:p w:rsidR="006C3713" w:rsidRDefault="00AD7B38" w:rsidP="001C5B8F">
      <w:r w:rsidRPr="00AD7B38">
        <w:rPr>
          <w:rFonts w:ascii="Verdana" w:hAnsi="Verdana" w:cs="Arial"/>
          <w:b/>
          <w:bCs/>
          <w:noProof/>
          <w:color w:val="222222"/>
          <w:kern w:val="36"/>
          <w:sz w:val="18"/>
          <w:szCs w:val="18"/>
        </w:rPr>
        <w:pict>
          <v:oval id="_x0000_s1034" style="position:absolute;margin-left:338.25pt;margin-top:2.75pt;width:96.75pt;height:206.05pt;z-index:251659264" filled="f" strokecolor="red" strokeweight="1.75pt"/>
        </w:pict>
      </w:r>
      <w:r w:rsidRPr="00AD7B38">
        <w:rPr>
          <w:rFonts w:ascii="Verdana" w:hAnsi="Verdana" w:cs="Arial"/>
          <w:b/>
          <w:bCs/>
          <w:noProof/>
          <w:color w:val="222222"/>
          <w:kern w:val="36"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477pt;margin-top:2.75pt;width:97.5pt;height:143.05pt;z-index:251657216" filled="f" stroked="f">
            <v:textbox style="mso-next-textbox:#_x0000_s1030">
              <w:txbxContent>
                <w:p w:rsidR="001B1C01" w:rsidRPr="007B1A15" w:rsidRDefault="001B1C01" w:rsidP="001B1C01">
                  <w:pPr>
                    <w:ind w:left="360"/>
                    <w:rPr>
                      <w:color w:val="FF0000"/>
                    </w:rPr>
                  </w:pPr>
                  <w:r w:rsidRPr="007B1A15">
                    <w:rPr>
                      <w:color w:val="FF0000"/>
                    </w:rPr>
                    <w:t>* If you want to change the t</w:t>
                  </w:r>
                  <w:r w:rsidR="006850F5">
                    <w:rPr>
                      <w:color w:val="FF0000"/>
                    </w:rPr>
                    <w:t>ime frame</w:t>
                  </w:r>
                  <w:r w:rsidRPr="007B1A15">
                    <w:rPr>
                      <w:color w:val="FF0000"/>
                    </w:rPr>
                    <w:t>, just change the Range and click “Run Report.”</w:t>
                  </w:r>
                </w:p>
                <w:p w:rsidR="001B1C01" w:rsidRDefault="001B1C01" w:rsidP="001B1C01"/>
              </w:txbxContent>
            </v:textbox>
          </v:shape>
        </w:pict>
      </w:r>
      <w:r w:rsidR="006850F5">
        <w:rPr>
          <w:noProof/>
        </w:rPr>
        <w:drawing>
          <wp:inline distT="0" distB="0" distL="0" distR="0">
            <wp:extent cx="6315075" cy="25050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B8F" w:rsidRDefault="00AD7B38" w:rsidP="001C5B8F">
      <w:r w:rsidRPr="00AD7B38">
        <w:rPr>
          <w:rFonts w:ascii="Verdana" w:hAnsi="Verdana" w:cs="Arial"/>
          <w:b/>
          <w:bCs/>
          <w:noProof/>
          <w:color w:val="222222"/>
          <w:kern w:val="36"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303.75pt;margin-top:1.55pt;width:51.75pt;height:20.25pt;flip:y;z-index:251660288" o:connectortype="straight" strokecolor="red" strokeweight="1.25pt">
            <v:stroke endarrow="block"/>
          </v:shape>
        </w:pict>
      </w:r>
      <w:r w:rsidR="006850F5">
        <w:t xml:space="preserve">  </w:t>
      </w:r>
    </w:p>
    <w:p w:rsidR="00C1208A" w:rsidRDefault="00C1208A" w:rsidP="001C5B8F"/>
    <w:p w:rsidR="00D17924" w:rsidRPr="00A85C44" w:rsidRDefault="00D17924" w:rsidP="001C5B8F">
      <w:pPr>
        <w:rPr>
          <w:color w:val="1E134D"/>
        </w:rPr>
      </w:pPr>
      <w:r w:rsidRPr="00A85C44">
        <w:rPr>
          <w:color w:val="1E134D"/>
        </w:rPr>
        <w:t xml:space="preserve">93% of </w:t>
      </w:r>
      <w:r w:rsidR="00C1208A" w:rsidRPr="00A85C44">
        <w:rPr>
          <w:color w:val="1E134D"/>
        </w:rPr>
        <w:t xml:space="preserve">QUOTED DOLLARS </w:t>
      </w:r>
      <w:r w:rsidRPr="00A85C44">
        <w:rPr>
          <w:color w:val="1E134D"/>
        </w:rPr>
        <w:t xml:space="preserve">have </w:t>
      </w:r>
      <w:r w:rsidR="00C1208A" w:rsidRPr="00A85C44">
        <w:rPr>
          <w:color w:val="1E134D"/>
        </w:rPr>
        <w:t xml:space="preserve">stayed quotes and </w:t>
      </w:r>
      <w:r w:rsidRPr="00A85C44">
        <w:rPr>
          <w:color w:val="1E134D"/>
        </w:rPr>
        <w:t>NOT been converted to orders</w:t>
      </w:r>
      <w:r w:rsidR="000052F2" w:rsidRPr="00A85C44">
        <w:rPr>
          <w:color w:val="1E134D"/>
        </w:rPr>
        <w:t xml:space="preserve"> ($16.6M out of $17.8M)</w:t>
      </w:r>
    </w:p>
    <w:p w:rsidR="00D17924" w:rsidRPr="00A85C44" w:rsidRDefault="00C1208A" w:rsidP="001C5B8F">
      <w:pPr>
        <w:rPr>
          <w:color w:val="1E134D"/>
        </w:rPr>
      </w:pPr>
      <w:r w:rsidRPr="00A85C44">
        <w:rPr>
          <w:color w:val="1E134D"/>
        </w:rPr>
        <w:t>7% of QUOTED DOLLARS</w:t>
      </w:r>
      <w:r w:rsidR="00D17924" w:rsidRPr="00A85C44">
        <w:rPr>
          <w:color w:val="1E134D"/>
        </w:rPr>
        <w:t xml:space="preserve"> have become orders</w:t>
      </w:r>
      <w:r w:rsidR="000052F2" w:rsidRPr="00A85C44">
        <w:rPr>
          <w:color w:val="1E134D"/>
        </w:rPr>
        <w:t xml:space="preserve"> ($1.1M out of $18.8M total)</w:t>
      </w:r>
    </w:p>
    <w:p w:rsidR="00D17924" w:rsidRPr="00A85C44" w:rsidRDefault="00D17924" w:rsidP="001C5B8F">
      <w:pPr>
        <w:rPr>
          <w:color w:val="1E134D"/>
        </w:rPr>
      </w:pPr>
    </w:p>
    <w:p w:rsidR="00C1208A" w:rsidRPr="00A85C44" w:rsidRDefault="00C1208A" w:rsidP="001C5B8F">
      <w:pPr>
        <w:rPr>
          <w:color w:val="1E134D"/>
        </w:rPr>
      </w:pPr>
      <w:r w:rsidRPr="00A85C44">
        <w:rPr>
          <w:color w:val="1E134D"/>
        </w:rPr>
        <w:t>54% of QUOTES have stayed quotes and NOT been converted to orders</w:t>
      </w:r>
      <w:r w:rsidR="000052F2" w:rsidRPr="00A85C44">
        <w:rPr>
          <w:color w:val="1E134D"/>
        </w:rPr>
        <w:t xml:space="preserve"> (611 out of 1,127 total)</w:t>
      </w:r>
    </w:p>
    <w:p w:rsidR="00D17924" w:rsidRDefault="00D17924" w:rsidP="001C5B8F">
      <w:pPr>
        <w:rPr>
          <w:color w:val="1E134D"/>
        </w:rPr>
      </w:pPr>
      <w:r w:rsidRPr="00A85C44">
        <w:rPr>
          <w:color w:val="1E134D"/>
        </w:rPr>
        <w:t xml:space="preserve">46% </w:t>
      </w:r>
      <w:r w:rsidR="00C1208A" w:rsidRPr="00A85C44">
        <w:rPr>
          <w:color w:val="1E134D"/>
        </w:rPr>
        <w:t>of QUOTES</w:t>
      </w:r>
      <w:r w:rsidRPr="00A85C44">
        <w:rPr>
          <w:color w:val="1E134D"/>
        </w:rPr>
        <w:t xml:space="preserve"> have become orders</w:t>
      </w:r>
      <w:r w:rsidR="000052F2" w:rsidRPr="00A85C44">
        <w:rPr>
          <w:color w:val="1E134D"/>
        </w:rPr>
        <w:t xml:space="preserve"> (516 out of 1,127 total)</w:t>
      </w:r>
    </w:p>
    <w:p w:rsidR="001D0098" w:rsidRDefault="001D0098" w:rsidP="001C5B8F">
      <w:pPr>
        <w:rPr>
          <w:color w:val="1E134D"/>
        </w:rPr>
      </w:pPr>
    </w:p>
    <w:p w:rsidR="001D0098" w:rsidRPr="00A85C44" w:rsidRDefault="001D0098" w:rsidP="001C5B8F">
      <w:pPr>
        <w:rPr>
          <w:color w:val="1E134D"/>
        </w:rPr>
      </w:pPr>
    </w:p>
    <w:p w:rsidR="00A85C44" w:rsidRPr="00A85C44" w:rsidRDefault="00A85C44">
      <w:pPr>
        <w:rPr>
          <w:color w:val="1F497D" w:themeColor="text2"/>
        </w:rPr>
      </w:pPr>
    </w:p>
    <w:sectPr w:rsidR="00A85C44" w:rsidRPr="00A85C44" w:rsidSect="001B1C01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1B70DB"/>
    <w:multiLevelType w:val="hybridMultilevel"/>
    <w:tmpl w:val="BBE010E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2E72E66"/>
    <w:multiLevelType w:val="hybridMultilevel"/>
    <w:tmpl w:val="830247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F5985"/>
    <w:rsid w:val="000052F2"/>
    <w:rsid w:val="000E60E8"/>
    <w:rsid w:val="001B1C01"/>
    <w:rsid w:val="001C5B8F"/>
    <w:rsid w:val="001D0098"/>
    <w:rsid w:val="0036086F"/>
    <w:rsid w:val="003D0FC5"/>
    <w:rsid w:val="006850F5"/>
    <w:rsid w:val="006C3713"/>
    <w:rsid w:val="00785D8C"/>
    <w:rsid w:val="00955067"/>
    <w:rsid w:val="00A85C44"/>
    <w:rsid w:val="00AD7B38"/>
    <w:rsid w:val="00AE4FDC"/>
    <w:rsid w:val="00B01E3D"/>
    <w:rsid w:val="00B6336A"/>
    <w:rsid w:val="00B8251C"/>
    <w:rsid w:val="00C1208A"/>
    <w:rsid w:val="00D17924"/>
    <w:rsid w:val="00DF18BD"/>
    <w:rsid w:val="00E07B9A"/>
    <w:rsid w:val="00FE2078"/>
    <w:rsid w:val="00FF59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7B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85D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85D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0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01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236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199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Salesforce 101 – 9</vt:lpstr>
    </vt:vector>
  </TitlesOfParts>
  <Company>Omni Cable</Company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101 – 9</dc:title>
  <dc:creator>Stacy Fromhold</dc:creator>
  <cp:lastModifiedBy>ocpasf</cp:lastModifiedBy>
  <cp:revision>8</cp:revision>
  <dcterms:created xsi:type="dcterms:W3CDTF">2011-10-06T13:27:00Z</dcterms:created>
  <dcterms:modified xsi:type="dcterms:W3CDTF">2011-10-07T15:41:00Z</dcterms:modified>
</cp:coreProperties>
</file>