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INSTRUCTION GUIDE</w:t>
      </w:r>
    </w:p>
    <w:p w14:paraId="00000002">
      <w:pPr>
        <w:jc w:val="center"/>
        <w:rPr>
          <w:b/>
          <w:bCs/>
          <w:lang w:val="en-US"/>
        </w:rPr>
      </w:pPr>
    </w:p>
    <w:p w14:paraId="00000003">
      <w:pPr>
        <w:jc w:val="center"/>
        <w:rPr>
          <w:b/>
          <w:bCs/>
          <w:lang w:val="en-US"/>
        </w:rPr>
      </w:pPr>
    </w:p>
    <w:p w14:paraId="00000004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Library Deployment Model</w:t>
      </w:r>
    </w:p>
    <w:p w14:paraId="00000005">
      <w:pPr>
        <w:jc w:val="left"/>
        <w:rPr>
          <w:b w:val="off"/>
          <w:bCs w:val="off"/>
          <w:lang w:val="en-US"/>
        </w:rPr>
      </w:pPr>
    </w:p>
    <w:p w14:paraId="00000006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Before Contacting Libraries</w:t>
      </w:r>
    </w:p>
    <w:p w14:paraId="00000007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1. Create organization name.</w:t>
      </w:r>
    </w:p>
    <w:p w14:paraId="00000008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2. Create mission statement.</w:t>
      </w:r>
    </w:p>
    <w:p w14:paraId="00000009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3. Create website.</w:t>
      </w:r>
    </w:p>
    <w:p w14:paraId="0000000A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4. Create email address.</w:t>
      </w:r>
    </w:p>
    <w:p w14:paraId="0000000B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5. Create one-page flyer.</w:t>
      </w:r>
    </w:p>
    <w:p w14:paraId="0000000C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6. Create volunteer signup form.</w:t>
      </w:r>
    </w:p>
    <w:p w14:paraId="0000000D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7. Create meeting agenda template.</w:t>
      </w:r>
    </w:p>
    <w:p w14:paraId="0000000E">
      <w:pPr>
        <w:jc w:val="left"/>
        <w:rPr>
          <w:b w:val="off"/>
          <w:bCs w:val="off"/>
          <w:lang w:val="en-US"/>
        </w:rPr>
      </w:pPr>
    </w:p>
    <w:p w14:paraId="0000000F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Initial Library Contact</w:t>
      </w:r>
    </w:p>
    <w:p w14:paraId="00000010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1. Call library administration.</w:t>
      </w:r>
    </w:p>
    <w:p w14:paraId="00000011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2. Ask for meeting room policies.</w:t>
      </w:r>
    </w:p>
    <w:p w14:paraId="00000012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3. Ask for civic group eligibility.</w:t>
      </w:r>
    </w:p>
    <w:p w14:paraId="00000013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4. Ask about recurring reservations.</w:t>
      </w:r>
    </w:p>
    <w:p w14:paraId="00000014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5. Request application forms.</w:t>
      </w:r>
    </w:p>
    <w:p w14:paraId="00000015">
      <w:pPr>
        <w:jc w:val="left"/>
        <w:rPr>
          <w:b w:val="off"/>
          <w:bCs w:val="off"/>
          <w:lang w:val="en-US"/>
        </w:rPr>
      </w:pPr>
    </w:p>
    <w:p w14:paraId="00000016">
      <w:pPr>
        <w:jc w:val="left"/>
        <w:rPr>
          <w:b w:val="off"/>
          <w:bCs w:val="off"/>
          <w:lang w:val="en-US"/>
        </w:rPr>
      </w:pPr>
    </w:p>
    <w:p w14:paraId="00000017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First Meeting</w:t>
      </w:r>
    </w:p>
    <w:p w14:paraId="00000018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Agenda:</w:t>
      </w:r>
    </w:p>
    <w:p w14:paraId="00000019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1. Welcome</w:t>
      </w:r>
    </w:p>
    <w:p w14:paraId="0000001A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2. Mission Overview</w:t>
      </w:r>
    </w:p>
    <w:p w14:paraId="0000001B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3. Community Discussion</w:t>
      </w:r>
    </w:p>
    <w:p w14:paraId="0000001C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4. Volunteer Signup</w:t>
      </w:r>
    </w:p>
    <w:p w14:paraId="0000001D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5. Upcoming Projects</w:t>
      </w:r>
    </w:p>
    <w:p w14:paraId="0000001E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6. Closing</w:t>
      </w:r>
    </w:p>
    <w:p w14:paraId="0000001F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After Meeting</w:t>
      </w:r>
    </w:p>
    <w:p w14:paraId="00000020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1. Publish meeting notes.</w:t>
      </w:r>
    </w:p>
    <w:p w14:paraId="00000021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2. Publish newsletter.</w:t>
      </w:r>
    </w:p>
    <w:p w14:paraId="00000022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3. Upload recordings.</w:t>
      </w:r>
    </w:p>
    <w:p w14:paraId="00000023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4. Recruit volunteers.</w:t>
      </w:r>
    </w:p>
    <w:p w14:paraId="00000024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5. Schedule next meeting.</w:t>
      </w:r>
    </w:p>
    <w:p w14:paraId="00000025">
      <w:pPr>
        <w:jc w:val="left"/>
        <w:rPr>
          <w:b w:val="off"/>
          <w:bCs w:val="off"/>
          <w:lang w:val="en-US"/>
        </w:rPr>
      </w:pPr>
    </w:p>
    <w:p w14:paraId="00000026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Expansion Model</w:t>
      </w:r>
    </w:p>
    <w:p w14:paraId="00000027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Compliance Recommendations</w:t>
      </w:r>
    </w:p>
    <w:p w14:paraId="00000028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Follow all library rules.</w:t>
      </w:r>
    </w:p>
    <w:p w14:paraId="00000029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Avoid implying government endorsement.</w:t>
      </w:r>
    </w:p>
    <w:p w14:paraId="0000002A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Respect facility neutrality policies.</w:t>
      </w:r>
    </w:p>
    <w:p w14:paraId="0000002B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Maintain viewpoint-neutral event access when required by facility rules.</w:t>
      </w:r>
    </w:p>
    <w:p w14:paraId="0000002C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Review applicable federal, state, and local laws before engaging in election-related</w:t>
      </w:r>
    </w:p>
    <w:p w14:paraId="0000002D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advocacy, fundraising, or expenditures.</w:t>
      </w:r>
    </w:p>
    <w:p w14:paraId="0000002E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This package is sufficient to launch a library-centered Digital Citizens Network chapter</w:t>
      </w:r>
    </w:p>
    <w:p w14:paraId="0000002F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system and begin recruiting volunteers, hosting meetings, publishing research, and</w:t>
      </w:r>
    </w:p>
    <w:p w14:paraId="00000030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building the distributed media network envisioned in the original document.</w:t>
      </w:r>
    </w:p>
    <w:p w14:paraId="00000031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Library Chapter</w:t>
      </w:r>
    </w:p>
    <w:p w14:paraId="00000032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 xml:space="preserve"> ↓</w:t>
      </w:r>
    </w:p>
    <w:p w14:paraId="00000033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County Chapter</w:t>
      </w:r>
    </w:p>
    <w:p w14:paraId="00000034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 xml:space="preserve"> ↓</w:t>
      </w:r>
    </w:p>
    <w:p w14:paraId="00000035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State Chapter</w:t>
      </w:r>
    </w:p>
    <w:p w14:paraId="00000036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 xml:space="preserve"> ↓</w:t>
      </w:r>
    </w:p>
    <w:p w14:paraId="00000037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Regional Network</w:t>
      </w:r>
    </w:p>
    <w:p w14:paraId="00000038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 xml:space="preserve"> ↓</w:t>
      </w:r>
    </w:p>
    <w:p w14:paraId="00000039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National Network</w:t>
      </w:r>
    </w:p>
    <w:p w14:paraId="0000003A">
      <w:pPr>
        <w:jc w:val="left"/>
        <w:rPr>
          <w:b w:val="off"/>
          <w:bCs w:val="off"/>
          <w:lang w:val="en-US"/>
        </w:rPr>
      </w:pPr>
    </w:p>
    <w:p w14:paraId="0000003B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Compliance Recommendations</w:t>
      </w:r>
    </w:p>
    <w:p w14:paraId="0000003C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Follow all library rules.</w:t>
      </w:r>
    </w:p>
    <w:p w14:paraId="0000003D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Avoid implying government endorsement.</w:t>
      </w:r>
    </w:p>
    <w:p w14:paraId="0000003E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Respect facility neutrality policies.</w:t>
      </w:r>
    </w:p>
    <w:p w14:paraId="0000003F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Maintain viewpoint-neutral event access when required by facility rules.</w:t>
      </w:r>
    </w:p>
    <w:p w14:paraId="00000040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Review applicable federal, state, and local laws before engaging in election-related</w:t>
      </w:r>
    </w:p>
    <w:p w14:paraId="00000041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advocacy, fundraising, or expenditures.</w:t>
      </w: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beforeAutospacing="0" w:after="0" w:afterAutospacing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beforeAutospacing="0" w:after="300" w:afterAutospacing="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beforeAutospacing="0" w:after="280" w:afterAutospacing="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beforeAutospacing="0" w:after="200" w:afterAutospacing="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Omnivertical Group</dc:creator>
  <cp:lastModifiedBy>Omnivertical Group</cp:lastModifiedBy>
</cp:coreProperties>
</file>