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13B3" w14:textId="7EB63F71" w:rsidR="001D27EB" w:rsidRPr="001D27EB" w:rsidRDefault="001D27EB">
      <w:pPr>
        <w:rPr>
          <w:rFonts w:asciiTheme="majorBidi" w:hAnsiTheme="majorBidi" w:cstheme="majorBidi"/>
          <w:b/>
          <w:bCs/>
        </w:rPr>
      </w:pPr>
      <w:r w:rsidRPr="001D27EB">
        <w:rPr>
          <w:rFonts w:asciiTheme="majorBidi" w:hAnsiTheme="majorBidi" w:cstheme="majorBidi"/>
          <w:b/>
          <w:bCs/>
        </w:rPr>
        <w:t>AWS SHARED RESPONSIBILITY BETWEEN THEMSELF AND CUSTOMERS</w:t>
      </w:r>
    </w:p>
    <w:p w14:paraId="708C5F0C" w14:textId="12EFEDED" w:rsidR="001D27EB" w:rsidRPr="001D27EB" w:rsidRDefault="001D27EB" w:rsidP="001D27EB">
      <w:pPr>
        <w:jc w:val="both"/>
        <w:rPr>
          <w:rFonts w:asciiTheme="majorBidi" w:hAnsiTheme="majorBidi" w:cstheme="majorBidi"/>
        </w:rPr>
      </w:pPr>
      <w:r w:rsidRPr="001D27EB">
        <w:rPr>
          <w:rFonts w:asciiTheme="majorBidi" w:hAnsiTheme="majorBidi" w:cstheme="majorBidi"/>
        </w:rPr>
        <w:t>Security of the cloud is the responsibility AWS plays to ensure that the data of customers in the cloud is secured and free from hackers.</w:t>
      </w:r>
    </w:p>
    <w:p w14:paraId="7AFF1CF9" w14:textId="09064F2F" w:rsidR="001D27EB" w:rsidRPr="001D27EB" w:rsidRDefault="001D27EB" w:rsidP="001D27EB">
      <w:pPr>
        <w:jc w:val="both"/>
        <w:rPr>
          <w:rFonts w:asciiTheme="majorBidi" w:hAnsiTheme="majorBidi" w:cstheme="majorBidi"/>
        </w:rPr>
      </w:pPr>
      <w:r w:rsidRPr="001D27EB">
        <w:rPr>
          <w:rFonts w:asciiTheme="majorBidi" w:hAnsiTheme="majorBidi" w:cstheme="majorBidi"/>
        </w:rPr>
        <w:t xml:space="preserve">However, security in the cloud is the responsibility of the customer or client in ensuring that </w:t>
      </w:r>
      <w:r w:rsidR="00A735EA">
        <w:rPr>
          <w:rFonts w:asciiTheme="majorBidi" w:hAnsiTheme="majorBidi" w:cstheme="majorBidi"/>
        </w:rPr>
        <w:t>their</w:t>
      </w:r>
      <w:r w:rsidRPr="001D27EB">
        <w:rPr>
          <w:rFonts w:asciiTheme="majorBidi" w:hAnsiTheme="majorBidi" w:cstheme="majorBidi"/>
        </w:rPr>
        <w:t xml:space="preserve"> information in </w:t>
      </w:r>
      <w:r w:rsidR="00A735EA">
        <w:rPr>
          <w:rFonts w:asciiTheme="majorBidi" w:hAnsiTheme="majorBidi" w:cstheme="majorBidi"/>
        </w:rPr>
        <w:t xml:space="preserve">the </w:t>
      </w:r>
      <w:r w:rsidRPr="001D27EB">
        <w:rPr>
          <w:rFonts w:asciiTheme="majorBidi" w:hAnsiTheme="majorBidi" w:cstheme="majorBidi"/>
        </w:rPr>
        <w:t>cloud is safe. AWS will not take the blame or responsibility for the carelessness of customer</w:t>
      </w:r>
      <w:r w:rsidR="00A735EA">
        <w:rPr>
          <w:rFonts w:asciiTheme="majorBidi" w:hAnsiTheme="majorBidi" w:cstheme="majorBidi"/>
        </w:rPr>
        <w:t>,</w:t>
      </w:r>
      <w:r w:rsidRPr="001D27EB">
        <w:rPr>
          <w:rFonts w:asciiTheme="majorBidi" w:hAnsiTheme="majorBidi" w:cstheme="majorBidi"/>
        </w:rPr>
        <w:t xml:space="preserve"> should there be any breach as regards data due to that negligence. E.g. If the client fails to configure the S3 bucket properly, hackers can take advantage of this and hack into the system.</w:t>
      </w:r>
    </w:p>
    <w:p w14:paraId="27F15477" w14:textId="22BFA7E9" w:rsidR="001D27EB" w:rsidRDefault="001D27EB" w:rsidP="001D27EB">
      <w:pPr>
        <w:jc w:val="both"/>
        <w:rPr>
          <w:rFonts w:asciiTheme="majorBidi" w:hAnsiTheme="majorBidi" w:cstheme="majorBidi"/>
        </w:rPr>
      </w:pPr>
      <w:r w:rsidRPr="001D27EB">
        <w:rPr>
          <w:rFonts w:asciiTheme="majorBidi" w:hAnsiTheme="majorBidi" w:cstheme="majorBidi"/>
        </w:rPr>
        <w:t>While AWS takes responsibility for the physical security of data in the cloud, users must also take responsibility for digital security in the cloud.</w:t>
      </w:r>
    </w:p>
    <w:p w14:paraId="03F8D5EF" w14:textId="664C1EB9" w:rsidR="00A735EA" w:rsidRDefault="00A735EA" w:rsidP="00A735EA">
      <w:pPr>
        <w:jc w:val="both"/>
        <w:rPr>
          <w:rFonts w:asciiTheme="majorBidi" w:hAnsiTheme="majorBidi" w:cstheme="majorBidi"/>
        </w:rPr>
      </w:pPr>
      <w:r>
        <w:rPr>
          <w:rFonts w:asciiTheme="majorBidi" w:hAnsiTheme="majorBidi" w:cstheme="majorBidi"/>
        </w:rPr>
        <w:t>C</w:t>
      </w:r>
      <w:r w:rsidRPr="00A735EA">
        <w:rPr>
          <w:rFonts w:asciiTheme="majorBidi" w:hAnsiTheme="majorBidi" w:cstheme="majorBidi"/>
        </w:rPr>
        <w:t>ustomer responsibility will be determined by the AWS Cloud services that a customer selects. This determines the amount of configuration work the customer must perform as part of their security responsibilities. For example, a service such as Amazon Elastic Compute Cloud (Amazon EC2) is categorized as Infrastructure as a Service (IaaS) and, as such, requires the customer to perform all of the necessary security configuration and management tasks.</w:t>
      </w:r>
    </w:p>
    <w:tbl>
      <w:tblPr>
        <w:tblStyle w:val="TableGrid"/>
        <w:tblW w:w="0" w:type="auto"/>
        <w:tblLook w:val="04A0" w:firstRow="1" w:lastRow="0" w:firstColumn="1" w:lastColumn="0" w:noHBand="0" w:noVBand="1"/>
      </w:tblPr>
      <w:tblGrid>
        <w:gridCol w:w="4675"/>
        <w:gridCol w:w="4675"/>
      </w:tblGrid>
      <w:tr w:rsidR="001D27EB" w14:paraId="425CDB72" w14:textId="77777777" w:rsidTr="001D27EB">
        <w:tc>
          <w:tcPr>
            <w:tcW w:w="4675" w:type="dxa"/>
          </w:tcPr>
          <w:p w14:paraId="4F135628" w14:textId="6B16D971" w:rsidR="001D27EB" w:rsidRPr="001D27EB" w:rsidRDefault="001D27EB" w:rsidP="001D27EB">
            <w:pPr>
              <w:jc w:val="both"/>
              <w:rPr>
                <w:rFonts w:asciiTheme="majorBidi" w:hAnsiTheme="majorBidi" w:cstheme="majorBidi"/>
                <w:b/>
                <w:bCs/>
              </w:rPr>
            </w:pPr>
            <w:r w:rsidRPr="001D27EB">
              <w:rPr>
                <w:rFonts w:asciiTheme="majorBidi" w:hAnsiTheme="majorBidi" w:cstheme="majorBidi"/>
                <w:b/>
                <w:bCs/>
              </w:rPr>
              <w:t>AWS RESPONSIBILITY</w:t>
            </w:r>
          </w:p>
        </w:tc>
        <w:tc>
          <w:tcPr>
            <w:tcW w:w="4675" w:type="dxa"/>
          </w:tcPr>
          <w:p w14:paraId="33DD0D88" w14:textId="75CE1B6F" w:rsidR="001D27EB" w:rsidRPr="001D27EB" w:rsidRDefault="001D27EB" w:rsidP="001D27EB">
            <w:pPr>
              <w:jc w:val="both"/>
              <w:rPr>
                <w:rFonts w:asciiTheme="majorBidi" w:hAnsiTheme="majorBidi" w:cstheme="majorBidi"/>
                <w:b/>
                <w:bCs/>
              </w:rPr>
            </w:pPr>
            <w:r w:rsidRPr="001D27EB">
              <w:rPr>
                <w:rFonts w:asciiTheme="majorBidi" w:hAnsiTheme="majorBidi" w:cstheme="majorBidi"/>
                <w:b/>
                <w:bCs/>
              </w:rPr>
              <w:t xml:space="preserve">CUSTOMER </w:t>
            </w:r>
            <w:r>
              <w:rPr>
                <w:rFonts w:asciiTheme="majorBidi" w:hAnsiTheme="majorBidi" w:cstheme="majorBidi"/>
                <w:b/>
                <w:bCs/>
              </w:rPr>
              <w:t>RESPONSIBILITY</w:t>
            </w:r>
          </w:p>
        </w:tc>
      </w:tr>
      <w:tr w:rsidR="00A735EA" w14:paraId="411085DD" w14:textId="77777777" w:rsidTr="001D27EB">
        <w:tc>
          <w:tcPr>
            <w:tcW w:w="4675" w:type="dxa"/>
          </w:tcPr>
          <w:p w14:paraId="7F5B715D" w14:textId="48FC99F3" w:rsidR="00A735EA" w:rsidRDefault="00A735EA" w:rsidP="00A735EA">
            <w:pPr>
              <w:jc w:val="both"/>
              <w:rPr>
                <w:rFonts w:asciiTheme="majorBidi" w:hAnsiTheme="majorBidi" w:cstheme="majorBidi"/>
              </w:rPr>
            </w:pPr>
            <w:r>
              <w:rPr>
                <w:rFonts w:asciiTheme="majorBidi" w:hAnsiTheme="majorBidi" w:cstheme="majorBidi"/>
              </w:rPr>
              <w:t>Compute</w:t>
            </w:r>
          </w:p>
        </w:tc>
        <w:tc>
          <w:tcPr>
            <w:tcW w:w="4675" w:type="dxa"/>
          </w:tcPr>
          <w:p w14:paraId="7218EB87" w14:textId="7CD3BAA3" w:rsidR="00A735EA" w:rsidRDefault="00A735EA" w:rsidP="00A735EA">
            <w:pPr>
              <w:jc w:val="both"/>
              <w:rPr>
                <w:rFonts w:asciiTheme="majorBidi" w:hAnsiTheme="majorBidi" w:cstheme="majorBidi"/>
              </w:rPr>
            </w:pPr>
            <w:r>
              <w:rPr>
                <w:rFonts w:asciiTheme="majorBidi" w:hAnsiTheme="majorBidi" w:cstheme="majorBidi"/>
              </w:rPr>
              <w:t>Customer Data</w:t>
            </w:r>
          </w:p>
        </w:tc>
      </w:tr>
      <w:tr w:rsidR="00A735EA" w14:paraId="171FA992" w14:textId="77777777" w:rsidTr="001D27EB">
        <w:tc>
          <w:tcPr>
            <w:tcW w:w="4675" w:type="dxa"/>
          </w:tcPr>
          <w:p w14:paraId="31EC57D0" w14:textId="20E0AFF3" w:rsidR="00A735EA" w:rsidRDefault="00A735EA" w:rsidP="00A735EA">
            <w:pPr>
              <w:jc w:val="both"/>
              <w:rPr>
                <w:rFonts w:asciiTheme="majorBidi" w:hAnsiTheme="majorBidi" w:cstheme="majorBidi"/>
              </w:rPr>
            </w:pPr>
            <w:r>
              <w:rPr>
                <w:rFonts w:asciiTheme="majorBidi" w:hAnsiTheme="majorBidi" w:cstheme="majorBidi"/>
              </w:rPr>
              <w:t>Storage</w:t>
            </w:r>
          </w:p>
        </w:tc>
        <w:tc>
          <w:tcPr>
            <w:tcW w:w="4675" w:type="dxa"/>
          </w:tcPr>
          <w:p w14:paraId="52F188F3" w14:textId="61ABFDFE" w:rsidR="00A735EA" w:rsidRDefault="00A735EA" w:rsidP="00A735EA">
            <w:pPr>
              <w:jc w:val="both"/>
              <w:rPr>
                <w:rFonts w:asciiTheme="majorBidi" w:hAnsiTheme="majorBidi" w:cstheme="majorBidi"/>
              </w:rPr>
            </w:pPr>
            <w:r>
              <w:rPr>
                <w:rFonts w:asciiTheme="majorBidi" w:hAnsiTheme="majorBidi" w:cstheme="majorBidi"/>
              </w:rPr>
              <w:t>Platform, Application, Identity and Access Management</w:t>
            </w:r>
          </w:p>
        </w:tc>
      </w:tr>
      <w:tr w:rsidR="00A735EA" w14:paraId="5CDA614A" w14:textId="77777777" w:rsidTr="001D27EB">
        <w:tc>
          <w:tcPr>
            <w:tcW w:w="4675" w:type="dxa"/>
          </w:tcPr>
          <w:p w14:paraId="34B910F8" w14:textId="5519BCDB" w:rsidR="00A735EA" w:rsidRDefault="00A735EA" w:rsidP="00A735EA">
            <w:pPr>
              <w:jc w:val="both"/>
              <w:rPr>
                <w:rFonts w:asciiTheme="majorBidi" w:hAnsiTheme="majorBidi" w:cstheme="majorBidi"/>
              </w:rPr>
            </w:pPr>
            <w:r>
              <w:rPr>
                <w:rFonts w:asciiTheme="majorBidi" w:hAnsiTheme="majorBidi" w:cstheme="majorBidi"/>
              </w:rPr>
              <w:t>Database</w:t>
            </w:r>
          </w:p>
        </w:tc>
        <w:tc>
          <w:tcPr>
            <w:tcW w:w="4675" w:type="dxa"/>
          </w:tcPr>
          <w:p w14:paraId="3ACCC626" w14:textId="1E3BE001" w:rsidR="00A735EA" w:rsidRDefault="00A735EA" w:rsidP="00A735EA">
            <w:pPr>
              <w:jc w:val="both"/>
              <w:rPr>
                <w:rFonts w:asciiTheme="majorBidi" w:hAnsiTheme="majorBidi" w:cstheme="majorBidi"/>
              </w:rPr>
            </w:pPr>
            <w:r>
              <w:rPr>
                <w:rFonts w:asciiTheme="majorBidi" w:hAnsiTheme="majorBidi" w:cstheme="majorBidi"/>
              </w:rPr>
              <w:t>Guest OS, Network and Firewall Configuration</w:t>
            </w:r>
          </w:p>
        </w:tc>
      </w:tr>
      <w:tr w:rsidR="00A735EA" w14:paraId="2497B1ED" w14:textId="77777777" w:rsidTr="001D27EB">
        <w:tc>
          <w:tcPr>
            <w:tcW w:w="4675" w:type="dxa"/>
          </w:tcPr>
          <w:p w14:paraId="40D34AA5" w14:textId="59985678" w:rsidR="00A735EA" w:rsidRDefault="00A735EA" w:rsidP="00A735EA">
            <w:pPr>
              <w:jc w:val="both"/>
              <w:rPr>
                <w:rFonts w:asciiTheme="majorBidi" w:hAnsiTheme="majorBidi" w:cstheme="majorBidi"/>
              </w:rPr>
            </w:pPr>
            <w:r>
              <w:rPr>
                <w:rFonts w:asciiTheme="majorBidi" w:hAnsiTheme="majorBidi" w:cstheme="majorBidi"/>
              </w:rPr>
              <w:t>Network</w:t>
            </w:r>
          </w:p>
        </w:tc>
        <w:tc>
          <w:tcPr>
            <w:tcW w:w="4675" w:type="dxa"/>
          </w:tcPr>
          <w:p w14:paraId="04E371F7" w14:textId="7A0D3AF6" w:rsidR="00A735EA" w:rsidRDefault="00A735EA" w:rsidP="00A735EA">
            <w:pPr>
              <w:jc w:val="both"/>
              <w:rPr>
                <w:rFonts w:asciiTheme="majorBidi" w:hAnsiTheme="majorBidi" w:cstheme="majorBidi"/>
              </w:rPr>
            </w:pPr>
            <w:r>
              <w:rPr>
                <w:rFonts w:asciiTheme="majorBidi" w:hAnsiTheme="majorBidi" w:cstheme="majorBidi"/>
              </w:rPr>
              <w:t>Client-side Data Encryption and Data Integrity Authentication</w:t>
            </w:r>
          </w:p>
        </w:tc>
      </w:tr>
      <w:tr w:rsidR="00A735EA" w14:paraId="1F949427" w14:textId="77777777" w:rsidTr="001D27EB">
        <w:tc>
          <w:tcPr>
            <w:tcW w:w="4675" w:type="dxa"/>
          </w:tcPr>
          <w:p w14:paraId="29DA67EE" w14:textId="427AF8E9" w:rsidR="00A735EA" w:rsidRDefault="00A735EA" w:rsidP="00A735EA">
            <w:pPr>
              <w:jc w:val="both"/>
              <w:rPr>
                <w:rFonts w:asciiTheme="majorBidi" w:hAnsiTheme="majorBidi" w:cstheme="majorBidi"/>
              </w:rPr>
            </w:pPr>
            <w:r>
              <w:rPr>
                <w:rFonts w:asciiTheme="majorBidi" w:hAnsiTheme="majorBidi" w:cstheme="majorBidi"/>
              </w:rPr>
              <w:t>Region</w:t>
            </w:r>
          </w:p>
        </w:tc>
        <w:tc>
          <w:tcPr>
            <w:tcW w:w="4675" w:type="dxa"/>
          </w:tcPr>
          <w:p w14:paraId="3AD1D992" w14:textId="689BDCD6" w:rsidR="00A735EA" w:rsidRDefault="00A735EA" w:rsidP="00A735EA">
            <w:pPr>
              <w:jc w:val="both"/>
              <w:rPr>
                <w:rFonts w:asciiTheme="majorBidi" w:hAnsiTheme="majorBidi" w:cstheme="majorBidi"/>
              </w:rPr>
            </w:pPr>
            <w:r>
              <w:rPr>
                <w:rFonts w:asciiTheme="majorBidi" w:hAnsiTheme="majorBidi" w:cstheme="majorBidi"/>
              </w:rPr>
              <w:t>Server-side Encryption (File system and/or Data)</w:t>
            </w:r>
          </w:p>
        </w:tc>
      </w:tr>
      <w:tr w:rsidR="00A735EA" w14:paraId="5C0FB50F" w14:textId="77777777" w:rsidTr="001D27EB">
        <w:tc>
          <w:tcPr>
            <w:tcW w:w="4675" w:type="dxa"/>
          </w:tcPr>
          <w:p w14:paraId="4A8E0D55" w14:textId="386A9E60" w:rsidR="00A735EA" w:rsidRDefault="00A735EA" w:rsidP="00A735EA">
            <w:pPr>
              <w:jc w:val="both"/>
              <w:rPr>
                <w:rFonts w:asciiTheme="majorBidi" w:hAnsiTheme="majorBidi" w:cstheme="majorBidi"/>
              </w:rPr>
            </w:pPr>
            <w:r>
              <w:rPr>
                <w:rFonts w:asciiTheme="majorBidi" w:hAnsiTheme="majorBidi" w:cstheme="majorBidi"/>
              </w:rPr>
              <w:t>Availability zones</w:t>
            </w:r>
          </w:p>
        </w:tc>
        <w:tc>
          <w:tcPr>
            <w:tcW w:w="4675" w:type="dxa"/>
          </w:tcPr>
          <w:p w14:paraId="46A25124" w14:textId="3E73E61E" w:rsidR="00A735EA" w:rsidRDefault="00A735EA" w:rsidP="00A735EA">
            <w:pPr>
              <w:jc w:val="both"/>
              <w:rPr>
                <w:rFonts w:asciiTheme="majorBidi" w:hAnsiTheme="majorBidi" w:cstheme="majorBidi"/>
              </w:rPr>
            </w:pPr>
            <w:r>
              <w:rPr>
                <w:rFonts w:asciiTheme="majorBidi" w:hAnsiTheme="majorBidi" w:cstheme="majorBidi"/>
              </w:rPr>
              <w:t>Networking traffic protection (Encryption, Integrity and Identity)</w:t>
            </w:r>
          </w:p>
        </w:tc>
      </w:tr>
      <w:tr w:rsidR="00A735EA" w14:paraId="1A22B5D0" w14:textId="77777777" w:rsidTr="001D27EB">
        <w:tc>
          <w:tcPr>
            <w:tcW w:w="4675" w:type="dxa"/>
          </w:tcPr>
          <w:p w14:paraId="21394F83" w14:textId="73899F69" w:rsidR="00A735EA" w:rsidRDefault="00A735EA" w:rsidP="00A735EA">
            <w:pPr>
              <w:jc w:val="both"/>
              <w:rPr>
                <w:rFonts w:asciiTheme="majorBidi" w:hAnsiTheme="majorBidi" w:cstheme="majorBidi"/>
              </w:rPr>
            </w:pPr>
            <w:r>
              <w:rPr>
                <w:rFonts w:asciiTheme="majorBidi" w:hAnsiTheme="majorBidi" w:cstheme="majorBidi"/>
              </w:rPr>
              <w:t>Edge locations</w:t>
            </w:r>
          </w:p>
        </w:tc>
        <w:tc>
          <w:tcPr>
            <w:tcW w:w="4675" w:type="dxa"/>
          </w:tcPr>
          <w:p w14:paraId="2EAC115C" w14:textId="77777777" w:rsidR="00A735EA" w:rsidRDefault="00A735EA" w:rsidP="00A735EA">
            <w:pPr>
              <w:jc w:val="both"/>
              <w:rPr>
                <w:rFonts w:asciiTheme="majorBidi" w:hAnsiTheme="majorBidi" w:cstheme="majorBidi"/>
              </w:rPr>
            </w:pPr>
          </w:p>
        </w:tc>
      </w:tr>
    </w:tbl>
    <w:p w14:paraId="1359B2FD" w14:textId="77777777" w:rsidR="001D27EB" w:rsidRPr="001D27EB" w:rsidRDefault="001D27EB" w:rsidP="001D27EB">
      <w:pPr>
        <w:jc w:val="both"/>
        <w:rPr>
          <w:rFonts w:asciiTheme="majorBidi" w:hAnsiTheme="majorBidi" w:cstheme="majorBidi"/>
        </w:rPr>
      </w:pPr>
    </w:p>
    <w:sectPr w:rsidR="001D27EB" w:rsidRPr="001D2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EB"/>
    <w:rsid w:val="001D27EB"/>
    <w:rsid w:val="00316C77"/>
    <w:rsid w:val="00A735EA"/>
    <w:rsid w:val="00B02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147C"/>
  <w15:chartTrackingRefBased/>
  <w15:docId w15:val="{B56F2DB2-83F0-4EBB-846B-2BAB38D8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7EB"/>
    <w:rPr>
      <w:rFonts w:eastAsiaTheme="majorEastAsia" w:cstheme="majorBidi"/>
      <w:color w:val="272727" w:themeColor="text1" w:themeTint="D8"/>
    </w:rPr>
  </w:style>
  <w:style w:type="paragraph" w:styleId="Title">
    <w:name w:val="Title"/>
    <w:basedOn w:val="Normal"/>
    <w:next w:val="Normal"/>
    <w:link w:val="TitleChar"/>
    <w:uiPriority w:val="10"/>
    <w:qFormat/>
    <w:rsid w:val="001D2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7EB"/>
    <w:pPr>
      <w:spacing w:before="160"/>
      <w:jc w:val="center"/>
    </w:pPr>
    <w:rPr>
      <w:i/>
      <w:iCs/>
      <w:color w:val="404040" w:themeColor="text1" w:themeTint="BF"/>
    </w:rPr>
  </w:style>
  <w:style w:type="character" w:customStyle="1" w:styleId="QuoteChar">
    <w:name w:val="Quote Char"/>
    <w:basedOn w:val="DefaultParagraphFont"/>
    <w:link w:val="Quote"/>
    <w:uiPriority w:val="29"/>
    <w:rsid w:val="001D27EB"/>
    <w:rPr>
      <w:i/>
      <w:iCs/>
      <w:color w:val="404040" w:themeColor="text1" w:themeTint="BF"/>
    </w:rPr>
  </w:style>
  <w:style w:type="paragraph" w:styleId="ListParagraph">
    <w:name w:val="List Paragraph"/>
    <w:basedOn w:val="Normal"/>
    <w:uiPriority w:val="34"/>
    <w:qFormat/>
    <w:rsid w:val="001D27EB"/>
    <w:pPr>
      <w:ind w:left="720"/>
      <w:contextualSpacing/>
    </w:pPr>
  </w:style>
  <w:style w:type="character" w:styleId="IntenseEmphasis">
    <w:name w:val="Intense Emphasis"/>
    <w:basedOn w:val="DefaultParagraphFont"/>
    <w:uiPriority w:val="21"/>
    <w:qFormat/>
    <w:rsid w:val="001D27EB"/>
    <w:rPr>
      <w:i/>
      <w:iCs/>
      <w:color w:val="2F5496" w:themeColor="accent1" w:themeShade="BF"/>
    </w:rPr>
  </w:style>
  <w:style w:type="paragraph" w:styleId="IntenseQuote">
    <w:name w:val="Intense Quote"/>
    <w:basedOn w:val="Normal"/>
    <w:next w:val="Normal"/>
    <w:link w:val="IntenseQuoteChar"/>
    <w:uiPriority w:val="30"/>
    <w:qFormat/>
    <w:rsid w:val="001D2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7EB"/>
    <w:rPr>
      <w:i/>
      <w:iCs/>
      <w:color w:val="2F5496" w:themeColor="accent1" w:themeShade="BF"/>
    </w:rPr>
  </w:style>
  <w:style w:type="character" w:styleId="IntenseReference">
    <w:name w:val="Intense Reference"/>
    <w:basedOn w:val="DefaultParagraphFont"/>
    <w:uiPriority w:val="32"/>
    <w:qFormat/>
    <w:rsid w:val="001D27EB"/>
    <w:rPr>
      <w:b/>
      <w:bCs/>
      <w:smallCaps/>
      <w:color w:val="2F5496" w:themeColor="accent1" w:themeShade="BF"/>
      <w:spacing w:val="5"/>
    </w:rPr>
  </w:style>
  <w:style w:type="table" w:styleId="TableGrid">
    <w:name w:val="Table Grid"/>
    <w:basedOn w:val="TableNormal"/>
    <w:uiPriority w:val="39"/>
    <w:rsid w:val="001D2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Omodiagbe</dc:creator>
  <cp:keywords/>
  <dc:description/>
  <cp:lastModifiedBy>Daniel Omodiagbe</cp:lastModifiedBy>
  <cp:revision>1</cp:revision>
  <dcterms:created xsi:type="dcterms:W3CDTF">2026-04-24T12:02:00Z</dcterms:created>
  <dcterms:modified xsi:type="dcterms:W3CDTF">2026-04-24T12:26:00Z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8c015e13-f247-4be6-99f7-29ad70c5136d</vt:lpwstr>
  </property>
</Properties>
</file>