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2F12" w14:textId="791B3BA6" w:rsidR="00FE42D5" w:rsidRDefault="00FE42D5" w:rsidP="00FE42D5">
      <w:pPr>
        <w:pStyle w:val="Heading1"/>
        <w:rPr>
          <w:lang w:val="en-GB"/>
        </w:rPr>
      </w:pPr>
      <w:r>
        <w:rPr>
          <w:lang w:val="en-GB"/>
        </w:rPr>
        <w:t>3.2 Enhancement of Quality of Life</w:t>
      </w:r>
    </w:p>
    <w:p w14:paraId="7606BD2E" w14:textId="097E63B5" w:rsidR="00FE42D5" w:rsidRDefault="00E94D33" w:rsidP="001D528D">
      <w:pPr>
        <w:ind w:firstLine="720"/>
        <w:rPr>
          <w:lang w:val="en-GB"/>
        </w:rPr>
      </w:pPr>
      <w:r>
        <w:rPr>
          <w:lang w:val="en-GB"/>
        </w:rPr>
        <w:t xml:space="preserve">This value requires ICT professionals to recognize the role ICT professionals can play to enhance the quality of life of people, particularly those with disabilities. This value also requires ICT professionals to protect and promote the health and wellbeing of the people affected by our </w:t>
      </w:r>
      <w:r w:rsidR="000B029D">
        <w:rPr>
          <w:lang w:val="en-GB"/>
        </w:rPr>
        <w:t>work</w:t>
      </w:r>
      <w:r w:rsidR="00B03ACD">
        <w:rPr>
          <w:lang w:val="en-GB"/>
        </w:rPr>
        <w:t xml:space="preserve">, </w:t>
      </w:r>
      <w:r>
        <w:rPr>
          <w:lang w:val="en-GB"/>
        </w:rPr>
        <w:t xml:space="preserve">understand and </w:t>
      </w:r>
      <w:proofErr w:type="gramStart"/>
      <w:r>
        <w:rPr>
          <w:lang w:val="en-GB"/>
        </w:rPr>
        <w:t>give consideration to</w:t>
      </w:r>
      <w:proofErr w:type="gramEnd"/>
      <w:r>
        <w:rPr>
          <w:lang w:val="en-GB"/>
        </w:rPr>
        <w:t xml:space="preserve"> the perceptions of people affected by our work and attempt to increase the feelings of </w:t>
      </w:r>
      <w:r w:rsidR="001D528D">
        <w:rPr>
          <w:lang w:val="en-GB"/>
        </w:rPr>
        <w:t>satisfaction, competence and control of the people affected by our work (ACS, 2023).</w:t>
      </w:r>
    </w:p>
    <w:p w14:paraId="3AF32D41" w14:textId="670E64D9" w:rsidR="00B10710" w:rsidRDefault="001D528D" w:rsidP="00B03ACD">
      <w:pPr>
        <w:rPr>
          <w:lang w:val="en-GB"/>
        </w:rPr>
      </w:pPr>
      <w:r>
        <w:rPr>
          <w:lang w:val="en-GB"/>
        </w:rPr>
        <w:tab/>
      </w:r>
    </w:p>
    <w:p w14:paraId="15ECB699" w14:textId="77777777" w:rsidR="0096788D" w:rsidRDefault="0096788D">
      <w:pPr>
        <w:rPr>
          <w:lang w:val="en-GB"/>
        </w:rPr>
      </w:pPr>
      <w:r>
        <w:rPr>
          <w:lang w:val="en-GB"/>
        </w:rPr>
        <w:br w:type="page"/>
      </w:r>
    </w:p>
    <w:p w14:paraId="4E1E29F7" w14:textId="73F619E0" w:rsidR="00C527F4" w:rsidRDefault="0096788D" w:rsidP="0096788D">
      <w:pPr>
        <w:pStyle w:val="Heading1"/>
        <w:rPr>
          <w:lang w:val="en-GB"/>
        </w:rPr>
      </w:pPr>
      <w:r>
        <w:rPr>
          <w:lang w:val="en-GB"/>
        </w:rPr>
        <w:lastRenderedPageBreak/>
        <w:t>3.5 Professional Development</w:t>
      </w:r>
    </w:p>
    <w:p w14:paraId="4739D969" w14:textId="5CAAEB71" w:rsidR="0096788D" w:rsidRDefault="0096788D" w:rsidP="0096788D">
      <w:pPr>
        <w:rPr>
          <w:lang w:val="en-GB"/>
        </w:rPr>
      </w:pPr>
      <w:r>
        <w:rPr>
          <w:lang w:val="en-GB"/>
        </w:rPr>
        <w:tab/>
      </w:r>
      <w:r w:rsidR="00346B17">
        <w:rPr>
          <w:lang w:val="en-GB"/>
        </w:rPr>
        <w:t>Professional development requires ICT professionals to continually maintain and improve their knowledge, skills and professional competence (ACS, 2023). This is to ensure that ICT professionals will deliver competent</w:t>
      </w:r>
      <w:r w:rsidR="00C808FB">
        <w:rPr>
          <w:lang w:val="en-GB"/>
        </w:rPr>
        <w:t xml:space="preserve">, ethical and socially responsible work. </w:t>
      </w:r>
    </w:p>
    <w:p w14:paraId="0F50DE0E" w14:textId="2E2022C7" w:rsidR="00F86FE8" w:rsidRDefault="00C808FB" w:rsidP="00B03ACD">
      <w:pPr>
        <w:rPr>
          <w:lang w:val="en-GB"/>
        </w:rPr>
      </w:pPr>
      <w:r>
        <w:rPr>
          <w:lang w:val="en-GB"/>
        </w:rPr>
        <w:tab/>
      </w:r>
    </w:p>
    <w:p w14:paraId="5D237D3E" w14:textId="4FF54F21" w:rsidR="00B03ACD" w:rsidRPr="00B03ACD" w:rsidRDefault="00B03ACD" w:rsidP="00B03ACD">
      <w:pPr>
        <w:pStyle w:val="Heading1"/>
        <w:rPr>
          <w:b/>
          <w:bCs/>
          <w:lang w:val="en-GB"/>
        </w:rPr>
      </w:pPr>
      <w:r w:rsidRPr="00B03ACD">
        <w:rPr>
          <w:b/>
          <w:bCs/>
          <w:lang w:val="en-GB"/>
        </w:rPr>
        <w:t>4. In Defence of the ACS Values</w:t>
      </w:r>
    </w:p>
    <w:p w14:paraId="77782451" w14:textId="4F1CE438" w:rsidR="00B03ACD" w:rsidRPr="00B03ACD" w:rsidRDefault="00B03ACD" w:rsidP="00B03ACD">
      <w:pPr>
        <w:rPr>
          <w:color w:val="FFC000"/>
          <w:lang w:val="en-GB"/>
        </w:rPr>
      </w:pPr>
      <w:r>
        <w:rPr>
          <w:lang w:val="en-GB"/>
        </w:rPr>
        <w:tab/>
      </w:r>
      <w:r>
        <w:rPr>
          <w:lang w:val="en-GB"/>
        </w:rPr>
        <w:t>The research on ICT supports the claim that digital systems can enhance the quality of life of people if used appropriately. One example is from the World Health Organization (WHO) that digital healthcare systems can improve access to healthcare especially in rural areas, while at the same time reducing the costs and the wait time (WHO, 2019). Another example is how inclusive ICT design can improve autonomy and the participation of people with disabilities (</w:t>
      </w:r>
      <w:proofErr w:type="spellStart"/>
      <w:r>
        <w:rPr>
          <w:lang w:val="en-GB"/>
        </w:rPr>
        <w:t>Shneiderman</w:t>
      </w:r>
      <w:proofErr w:type="spellEnd"/>
      <w:r>
        <w:rPr>
          <w:lang w:val="en-GB"/>
        </w:rPr>
        <w:t>, 2020).</w:t>
      </w:r>
      <w:r>
        <w:rPr>
          <w:lang w:val="en-GB"/>
        </w:rPr>
        <w:t xml:space="preserve"> </w:t>
      </w:r>
      <w:r w:rsidRPr="003D0C85">
        <w:rPr>
          <w:color w:val="EE0000"/>
          <w:lang w:val="en-GB"/>
        </w:rPr>
        <w:t xml:space="preserve">By promoting inclusion and </w:t>
      </w:r>
      <w:proofErr w:type="gramStart"/>
      <w:r w:rsidRPr="003D0C85">
        <w:rPr>
          <w:color w:val="EE0000"/>
          <w:lang w:val="en-GB"/>
        </w:rPr>
        <w:t>general-wellbeing</w:t>
      </w:r>
      <w:proofErr w:type="gramEnd"/>
      <w:r w:rsidRPr="003D0C85">
        <w:rPr>
          <w:color w:val="EE0000"/>
          <w:lang w:val="en-GB"/>
        </w:rPr>
        <w:t xml:space="preserve"> of society, we believe this also aligns with primacy of public interest.</w:t>
      </w:r>
    </w:p>
    <w:p w14:paraId="57164231" w14:textId="0FF80797" w:rsidR="00B03ACD" w:rsidRPr="00B03ACD" w:rsidRDefault="00B03ACD" w:rsidP="00B03ACD">
      <w:pPr>
        <w:rPr>
          <w:color w:val="FFC000"/>
          <w:lang w:val="en-GB"/>
        </w:rPr>
      </w:pPr>
      <w:r w:rsidRPr="00B03ACD">
        <w:rPr>
          <w:color w:val="FFC000"/>
          <w:lang w:val="en-GB"/>
        </w:rPr>
        <w:tab/>
        <w:t xml:space="preserve">For </w:t>
      </w:r>
      <w:r>
        <w:rPr>
          <w:color w:val="FFC000"/>
          <w:lang w:val="en-GB"/>
        </w:rPr>
        <w:t xml:space="preserve">most ACS </w:t>
      </w:r>
      <w:r w:rsidRPr="00B03ACD">
        <w:rPr>
          <w:color w:val="FFC000"/>
          <w:lang w:val="en-GB"/>
        </w:rPr>
        <w:t>value</w:t>
      </w:r>
      <w:r>
        <w:rPr>
          <w:color w:val="FFC000"/>
          <w:lang w:val="en-GB"/>
        </w:rPr>
        <w:t>s</w:t>
      </w:r>
      <w:r w:rsidRPr="00B03ACD">
        <w:rPr>
          <w:color w:val="FFC000"/>
          <w:lang w:val="en-GB"/>
        </w:rPr>
        <w:t>, we believe that the most appropriate ethical framework is utilitarianism, an ethical framework that evaluates actions based on their consequences and seeks to maximise overall wellbeing (Mill, 1863). Utilitarianism is highly relevant in ICT context</w:t>
      </w:r>
      <w:r>
        <w:rPr>
          <w:color w:val="FFC000"/>
          <w:lang w:val="en-GB"/>
        </w:rPr>
        <w:t xml:space="preserve"> </w:t>
      </w:r>
      <w:r w:rsidRPr="00B03ACD">
        <w:rPr>
          <w:color w:val="EE0000"/>
          <w:lang w:val="en-GB"/>
        </w:rPr>
        <w:t>and what we believe to be the best one</w:t>
      </w:r>
      <w:r w:rsidRPr="00B03ACD">
        <w:rPr>
          <w:color w:val="EE0000"/>
          <w:lang w:val="en-GB"/>
        </w:rPr>
        <w:t xml:space="preserve"> </w:t>
      </w:r>
      <w:r w:rsidRPr="00B03ACD">
        <w:rPr>
          <w:color w:val="FFC000"/>
          <w:lang w:val="en-GB"/>
        </w:rPr>
        <w:t xml:space="preserve">because digital systems usually affect large amounts of the population at the same time. Therefore, an ICT system is ethically justified if it produces the greatest net benefit for society. </w:t>
      </w:r>
    </w:p>
    <w:p w14:paraId="0BF63AEE" w14:textId="186BCDBB" w:rsidR="00B03ACD" w:rsidRDefault="00B03ACD" w:rsidP="00B03ACD">
      <w:pPr>
        <w:rPr>
          <w:lang w:val="en-GB"/>
        </w:rPr>
      </w:pPr>
      <w:r>
        <w:rPr>
          <w:lang w:val="en-GB"/>
        </w:rPr>
        <w:tab/>
      </w:r>
      <w:r w:rsidRPr="00B03ACD">
        <w:rPr>
          <w:color w:val="EE0000"/>
          <w:lang w:val="en-GB"/>
        </w:rPr>
        <w:t>On the other hand, it can also be argued that due to the nature of utilitarianism, where it is focused on the outcome, it can harm individuals or minority groups and still be justified in the name of overall benefit. Another critique about utilitarianism is that the measure of success for it is quite difficult, especially in complex ICT systems, such as “happiness”, “wellbeing”, “efficiency”, just to name a few. However, we believe this does not invalidate the relevancy of utilitarianism relating to ACS value</w:t>
      </w:r>
      <w:r w:rsidRPr="00B03ACD">
        <w:rPr>
          <w:color w:val="EE0000"/>
          <w:lang w:val="en-GB"/>
        </w:rPr>
        <w:t>s</w:t>
      </w:r>
      <w:r w:rsidRPr="00B03ACD">
        <w:rPr>
          <w:color w:val="EE0000"/>
          <w:lang w:val="en-GB"/>
        </w:rPr>
        <w:t xml:space="preserve">, rather it highlights the need for a balanced ethical approach. We can take an approach where the ethical standard is mixed with others such as deontology which focuses on duties and moral consequences. This way, the quality of life will be enhanced for everyone without harming any </w:t>
      </w:r>
      <w:proofErr w:type="gramStart"/>
      <w:r w:rsidRPr="00B03ACD">
        <w:rPr>
          <w:color w:val="EE0000"/>
          <w:lang w:val="en-GB"/>
        </w:rPr>
        <w:t>particular groups</w:t>
      </w:r>
      <w:proofErr w:type="gramEnd"/>
      <w:r w:rsidRPr="00B03ACD">
        <w:rPr>
          <w:color w:val="EE0000"/>
          <w:lang w:val="en-GB"/>
        </w:rPr>
        <w:t xml:space="preserve"> or individuals</w:t>
      </w:r>
      <w:r>
        <w:rPr>
          <w:lang w:val="en-GB"/>
        </w:rPr>
        <w:t xml:space="preserve">. A good example of the risk of </w:t>
      </w:r>
      <w:r w:rsidRPr="00A46079">
        <w:rPr>
          <w:lang w:val="en-GB"/>
        </w:rPr>
        <w:t>utilitarianism</w:t>
      </w:r>
      <w:r>
        <w:rPr>
          <w:lang w:val="en-GB"/>
        </w:rPr>
        <w:t xml:space="preserve"> is </w:t>
      </w:r>
      <w:proofErr w:type="spellStart"/>
      <w:r>
        <w:rPr>
          <w:lang w:val="en-GB"/>
        </w:rPr>
        <w:t>Robodebt</w:t>
      </w:r>
      <w:proofErr w:type="spellEnd"/>
      <w:r>
        <w:rPr>
          <w:lang w:val="en-GB"/>
        </w:rPr>
        <w:t xml:space="preserve">, Australia’s automated welfare debt recovery system. </w:t>
      </w:r>
      <w:r w:rsidRPr="0016621E">
        <w:rPr>
          <w:lang w:val="en-GB"/>
        </w:rPr>
        <w:t xml:space="preserve">Although the system was propped up as a means of increasing efficiency, what </w:t>
      </w:r>
      <w:proofErr w:type="gramStart"/>
      <w:r w:rsidRPr="0016621E">
        <w:rPr>
          <w:lang w:val="en-GB"/>
        </w:rPr>
        <w:t xml:space="preserve">actually </w:t>
      </w:r>
      <w:r>
        <w:rPr>
          <w:lang w:val="en-GB"/>
        </w:rPr>
        <w:t>happened</w:t>
      </w:r>
      <w:proofErr w:type="gramEnd"/>
      <w:r>
        <w:rPr>
          <w:lang w:val="en-GB"/>
        </w:rPr>
        <w:t xml:space="preserve"> was</w:t>
      </w:r>
      <w:r w:rsidRPr="0016621E">
        <w:rPr>
          <w:lang w:val="en-GB"/>
        </w:rPr>
        <w:t xml:space="preserve"> economic damage </w:t>
      </w:r>
      <w:proofErr w:type="gramStart"/>
      <w:r w:rsidRPr="0016621E">
        <w:rPr>
          <w:lang w:val="en-GB"/>
        </w:rPr>
        <w:t>and also</w:t>
      </w:r>
      <w:proofErr w:type="gramEnd"/>
      <w:r w:rsidRPr="0016621E">
        <w:rPr>
          <w:lang w:val="en-GB"/>
        </w:rPr>
        <w:t xml:space="preserve"> psycho</w:t>
      </w:r>
      <w:r>
        <w:rPr>
          <w:lang w:val="en-GB"/>
        </w:rPr>
        <w:t>logical</w:t>
      </w:r>
      <w:r w:rsidRPr="0016621E">
        <w:rPr>
          <w:lang w:val="en-GB"/>
        </w:rPr>
        <w:t xml:space="preserve"> distress </w:t>
      </w:r>
      <w:proofErr w:type="gramStart"/>
      <w:r w:rsidRPr="0016621E">
        <w:rPr>
          <w:lang w:val="en-GB"/>
        </w:rPr>
        <w:t>as a result of</w:t>
      </w:r>
      <w:proofErr w:type="gramEnd"/>
      <w:r w:rsidRPr="0016621E">
        <w:rPr>
          <w:lang w:val="en-GB"/>
        </w:rPr>
        <w:t xml:space="preserve"> </w:t>
      </w:r>
      <w:r>
        <w:rPr>
          <w:lang w:val="en-GB"/>
        </w:rPr>
        <w:t>a</w:t>
      </w:r>
      <w:r w:rsidRPr="0016621E">
        <w:rPr>
          <w:lang w:val="en-GB"/>
        </w:rPr>
        <w:t xml:space="preserve"> lack of clarity and </w:t>
      </w:r>
      <w:r>
        <w:rPr>
          <w:lang w:val="en-GB"/>
        </w:rPr>
        <w:t xml:space="preserve">proper </w:t>
      </w:r>
      <w:r w:rsidRPr="0016621E">
        <w:rPr>
          <w:lang w:val="en-GB"/>
        </w:rPr>
        <w:t xml:space="preserve">oversight. This </w:t>
      </w:r>
      <w:proofErr w:type="gramStart"/>
      <w:r w:rsidRPr="0016621E">
        <w:rPr>
          <w:lang w:val="en-GB"/>
        </w:rPr>
        <w:t xml:space="preserve">particular </w:t>
      </w:r>
      <w:r>
        <w:rPr>
          <w:lang w:val="en-GB"/>
        </w:rPr>
        <w:t>case</w:t>
      </w:r>
      <w:proofErr w:type="gramEnd"/>
      <w:r>
        <w:rPr>
          <w:lang w:val="en-GB"/>
        </w:rPr>
        <w:t xml:space="preserve"> </w:t>
      </w:r>
      <w:r w:rsidRPr="0016621E">
        <w:rPr>
          <w:lang w:val="en-GB"/>
        </w:rPr>
        <w:t>also highlight</w:t>
      </w:r>
      <w:r>
        <w:rPr>
          <w:lang w:val="en-GB"/>
        </w:rPr>
        <w:t>s</w:t>
      </w:r>
      <w:r w:rsidRPr="0016621E">
        <w:rPr>
          <w:lang w:val="en-GB"/>
        </w:rPr>
        <w:t xml:space="preserve"> the </w:t>
      </w:r>
      <w:r>
        <w:rPr>
          <w:lang w:val="en-GB"/>
        </w:rPr>
        <w:t xml:space="preserve">dangers </w:t>
      </w:r>
      <w:r w:rsidRPr="0016621E">
        <w:rPr>
          <w:lang w:val="en-GB"/>
        </w:rPr>
        <w:t xml:space="preserve">of not taking </w:t>
      </w:r>
      <w:r>
        <w:rPr>
          <w:lang w:val="en-GB"/>
        </w:rPr>
        <w:t>proper</w:t>
      </w:r>
      <w:r w:rsidRPr="0016621E">
        <w:rPr>
          <w:lang w:val="en-GB"/>
        </w:rPr>
        <w:t xml:space="preserve"> review in relation to ethical-social implications. </w:t>
      </w:r>
      <w:r>
        <w:rPr>
          <w:lang w:val="en-GB"/>
        </w:rPr>
        <w:t>(Royal Commission, 2023).</w:t>
      </w:r>
    </w:p>
    <w:p w14:paraId="1BCD4656" w14:textId="3BF295CE" w:rsidR="00B03ACD" w:rsidRDefault="00B03ACD" w:rsidP="00B03ACD">
      <w:pPr>
        <w:rPr>
          <w:lang w:val="en-GB"/>
        </w:rPr>
      </w:pPr>
      <w:r>
        <w:rPr>
          <w:lang w:val="en-GB"/>
        </w:rPr>
        <w:tab/>
        <w:t xml:space="preserve">To uphold </w:t>
      </w:r>
      <w:r w:rsidRPr="00B03ACD">
        <w:rPr>
          <w:color w:val="FFC000"/>
          <w:lang w:val="en-GB"/>
        </w:rPr>
        <w:t>quality of life</w:t>
      </w:r>
      <w:r w:rsidR="003D0C85">
        <w:rPr>
          <w:color w:val="FFC000"/>
          <w:lang w:val="en-GB"/>
        </w:rPr>
        <w:t>, competence, and primacy of public interest</w:t>
      </w:r>
      <w:r w:rsidRPr="00B03ACD">
        <w:rPr>
          <w:color w:val="FFC000"/>
          <w:lang w:val="en-GB"/>
        </w:rPr>
        <w:t xml:space="preserve"> </w:t>
      </w:r>
      <w:r>
        <w:rPr>
          <w:lang w:val="en-GB"/>
        </w:rPr>
        <w:t xml:space="preserve">in practice, the Australian government also has a legal framework in place to protect </w:t>
      </w:r>
      <w:r>
        <w:rPr>
          <w:lang w:val="en-GB"/>
        </w:rPr>
        <w:lastRenderedPageBreak/>
        <w:t>individuals from ICT systems. This framework, which is the privacy legislation, requires organizations to manage personal data responsibly, supporting trust, autonomy, and personal security (OAIC, 2023).</w:t>
      </w:r>
      <w:r>
        <w:rPr>
          <w:lang w:val="en-GB"/>
        </w:rPr>
        <w:t xml:space="preserve"> </w:t>
      </w:r>
    </w:p>
    <w:p w14:paraId="1F672F86" w14:textId="77777777" w:rsidR="00B03ACD" w:rsidRDefault="00B03ACD" w:rsidP="00B03ACD">
      <w:pPr>
        <w:rPr>
          <w:lang w:val="en-GB"/>
        </w:rPr>
      </w:pPr>
      <w:r>
        <w:rPr>
          <w:lang w:val="en-GB"/>
        </w:rPr>
        <w:t xml:space="preserve">With AI, cloud computing and cybersecurity evolving at an unexpectedly quick pace, it means that standards in digital systems can quickly change, and previously accepted standards may become outdated in a very short time. </w:t>
      </w:r>
      <w:r w:rsidRPr="00F53335">
        <w:rPr>
          <w:lang w:val="en-GB"/>
        </w:rPr>
        <w:t xml:space="preserve">Research in professional practice shows that obsolescence of skills raises the risk of data breaches, system failures, </w:t>
      </w:r>
      <w:r>
        <w:rPr>
          <w:lang w:val="en-GB"/>
        </w:rPr>
        <w:t>and unethical behaviour</w:t>
      </w:r>
      <w:r w:rsidRPr="00F53335">
        <w:rPr>
          <w:lang w:val="en-GB"/>
        </w:rPr>
        <w:t xml:space="preserve"> especially when professionals rely on out-of-date technical knowledge</w:t>
      </w:r>
      <w:r>
        <w:rPr>
          <w:lang w:val="en-GB"/>
        </w:rPr>
        <w:t xml:space="preserve"> </w:t>
      </w:r>
      <w:r w:rsidRPr="00C808FB">
        <w:rPr>
          <w:lang w:val="en-GB"/>
        </w:rPr>
        <w:t>(Tavani, 2016)</w:t>
      </w:r>
      <w:r>
        <w:rPr>
          <w:lang w:val="en-GB"/>
        </w:rPr>
        <w:t xml:space="preserve">. With continuous professional development, these risks can be reduced for the organization and the </w:t>
      </w:r>
      <w:proofErr w:type="gramStart"/>
      <w:r>
        <w:rPr>
          <w:lang w:val="en-GB"/>
        </w:rPr>
        <w:t>general public</w:t>
      </w:r>
      <w:proofErr w:type="gramEnd"/>
      <w:r>
        <w:rPr>
          <w:lang w:val="en-GB"/>
        </w:rPr>
        <w:t>.</w:t>
      </w:r>
    </w:p>
    <w:p w14:paraId="5496F8C0" w14:textId="77777777" w:rsidR="00B03ACD" w:rsidRDefault="00B03ACD" w:rsidP="00B03ACD">
      <w:pPr>
        <w:rPr>
          <w:lang w:val="en-GB"/>
        </w:rPr>
      </w:pPr>
      <w:r>
        <w:rPr>
          <w:lang w:val="en-GB"/>
        </w:rPr>
        <w:tab/>
      </w:r>
      <w:r w:rsidRPr="003D0C85">
        <w:rPr>
          <w:color w:val="FFC000"/>
          <w:lang w:val="en-GB"/>
        </w:rPr>
        <w:t>We believe the most appropriate ethical framework for this value is virtue ethics. We also considered contractarianism but considering that at the end of the day that professional development is mostly about the individuals’ own willingness to improve their skills, the most appropriate one is virtue ethics. Because it emphasizes the moral qualities of the professional to be better rather than some sort of strict rule from a work contract or any other legal obligation. Even if it was a legal obligation, if the professional’s moral qualities aren’t that good, they will just do the bare minimum the meet the requirements of the legal obligation. This point of view aligns with the ACS expectation that ICT professionals take personal responsibility for maintaining high standards of practice in their work (ACS, 2023).</w:t>
      </w:r>
    </w:p>
    <w:p w14:paraId="3ED1CC1F" w14:textId="5BF7199F" w:rsidR="00B03ACD" w:rsidRDefault="00B03ACD" w:rsidP="00B03ACD">
      <w:pPr>
        <w:rPr>
          <w:lang w:val="en-GB"/>
        </w:rPr>
      </w:pPr>
      <w:r>
        <w:rPr>
          <w:lang w:val="en-GB"/>
        </w:rPr>
        <w:tab/>
      </w:r>
      <w:r w:rsidRPr="003D0C85">
        <w:rPr>
          <w:color w:val="EE0000"/>
          <w:lang w:val="en-GB"/>
        </w:rPr>
        <w:t>Professional development</w:t>
      </w:r>
      <w:r w:rsidR="003D0C85" w:rsidRPr="003D0C85">
        <w:rPr>
          <w:color w:val="EE0000"/>
          <w:lang w:val="en-GB"/>
        </w:rPr>
        <w:t>, professionalism, and honesty</w:t>
      </w:r>
      <w:r w:rsidRPr="003D0C85">
        <w:rPr>
          <w:color w:val="EE0000"/>
          <w:lang w:val="en-GB"/>
        </w:rPr>
        <w:t xml:space="preserve"> </w:t>
      </w:r>
      <w:r>
        <w:rPr>
          <w:lang w:val="en-GB"/>
        </w:rPr>
        <w:t xml:space="preserve">is also reinforced by legal and regulatory standards. </w:t>
      </w:r>
      <w:r w:rsidRPr="00FB5F78">
        <w:rPr>
          <w:lang w:val="en-GB"/>
        </w:rPr>
        <w:t>ICT professionals operate under legal duties of care</w:t>
      </w:r>
      <w:r>
        <w:rPr>
          <w:lang w:val="en-GB"/>
        </w:rPr>
        <w:t>, where failure to maintain appropriate competence may count as negligence, especially if there’s damage done that results from outdated or insecure systems (Brenner, 2019). Furthermore</w:t>
      </w:r>
      <w:r w:rsidRPr="00FB5F78">
        <w:rPr>
          <w:lang w:val="en-GB"/>
        </w:rPr>
        <w:t>, privacy and cybersecurity legislation requires ICT pr</w:t>
      </w:r>
      <w:r>
        <w:rPr>
          <w:lang w:val="en-GB"/>
        </w:rPr>
        <w:t>ofessionals</w:t>
      </w:r>
      <w:r w:rsidRPr="00FB5F78">
        <w:rPr>
          <w:lang w:val="en-GB"/>
        </w:rPr>
        <w:t xml:space="preserve"> to implement </w:t>
      </w:r>
      <w:r>
        <w:rPr>
          <w:lang w:val="en-GB"/>
        </w:rPr>
        <w:t>up-to-date</w:t>
      </w:r>
      <w:r w:rsidRPr="00FB5F78">
        <w:rPr>
          <w:lang w:val="en-GB"/>
        </w:rPr>
        <w:t xml:space="preserve"> security measures and data protection practices, w</w:t>
      </w:r>
      <w:r>
        <w:rPr>
          <w:lang w:val="en-GB"/>
        </w:rPr>
        <w:t>hich requires continuous learning and improvement</w:t>
      </w:r>
      <w:r w:rsidRPr="00FB5F78">
        <w:rPr>
          <w:lang w:val="en-GB"/>
        </w:rPr>
        <w:t xml:space="preserve"> (OAIC, 2023).</w:t>
      </w:r>
    </w:p>
    <w:p w14:paraId="11908A18" w14:textId="77777777" w:rsidR="00B03ACD" w:rsidRDefault="00B03ACD" w:rsidP="00B03ACD">
      <w:pPr>
        <w:rPr>
          <w:lang w:val="en-GB"/>
        </w:rPr>
      </w:pPr>
      <w:r>
        <w:rPr>
          <w:lang w:val="en-GB"/>
        </w:rPr>
        <w:tab/>
        <w:t xml:space="preserve">A strong real-world example of professional development is the Sydney founded Australian company Atlassian. They invest a lot on continuous development of their workforce through </w:t>
      </w:r>
      <w:r w:rsidRPr="00F86FE8">
        <w:rPr>
          <w:lang w:val="en-GB"/>
        </w:rPr>
        <w:t>structured learning programs, internal knowledge sharing, and dedicated time for skill advancement</w:t>
      </w:r>
      <w:r>
        <w:rPr>
          <w:lang w:val="en-GB"/>
        </w:rPr>
        <w:t>. They claim this results in higher employee satisfaction, increased productivity, innovation, and efficiency, and results in a more adaptable workforce (Atlassian, 2025). This proves that continuous professional development is strategically and ethically necessary.</w:t>
      </w:r>
    </w:p>
    <w:p w14:paraId="710E8379" w14:textId="58222FDB" w:rsidR="00B03ACD" w:rsidRDefault="00B03ACD" w:rsidP="00B03ACD">
      <w:pPr>
        <w:rPr>
          <w:lang w:val="en-GB"/>
        </w:rPr>
      </w:pPr>
      <w:r>
        <w:rPr>
          <w:lang w:val="en-GB"/>
        </w:rPr>
        <w:tab/>
      </w:r>
      <w:r w:rsidRPr="003D0C85">
        <w:rPr>
          <w:color w:val="EE0000"/>
          <w:lang w:val="en-GB"/>
        </w:rPr>
        <w:t xml:space="preserve">After considering all the above points, we strongly believe </w:t>
      </w:r>
      <w:proofErr w:type="gramStart"/>
      <w:r w:rsidR="003D0C85" w:rsidRPr="003D0C85">
        <w:rPr>
          <w:color w:val="EE0000"/>
          <w:lang w:val="en-GB"/>
        </w:rPr>
        <w:t>all of</w:t>
      </w:r>
      <w:proofErr w:type="gramEnd"/>
      <w:r w:rsidR="003D0C85" w:rsidRPr="003D0C85">
        <w:rPr>
          <w:color w:val="EE0000"/>
          <w:lang w:val="en-GB"/>
        </w:rPr>
        <w:t xml:space="preserve"> the ACS values are</w:t>
      </w:r>
      <w:r w:rsidRPr="003D0C85">
        <w:rPr>
          <w:color w:val="EE0000"/>
          <w:lang w:val="en-GB"/>
        </w:rPr>
        <w:t xml:space="preserve"> essential in the ICT profession. It is ethically justified, legally reinforced, and practical. We also believe that </w:t>
      </w:r>
      <w:proofErr w:type="gramStart"/>
      <w:r w:rsidRPr="003D0C85">
        <w:rPr>
          <w:color w:val="EE0000"/>
          <w:lang w:val="en-GB"/>
        </w:rPr>
        <w:t>th</w:t>
      </w:r>
      <w:r w:rsidR="003D0C85" w:rsidRPr="003D0C85">
        <w:rPr>
          <w:color w:val="EE0000"/>
          <w:lang w:val="en-GB"/>
        </w:rPr>
        <w:t>ese</w:t>
      </w:r>
      <w:r w:rsidRPr="003D0C85">
        <w:rPr>
          <w:color w:val="EE0000"/>
          <w:lang w:val="en-GB"/>
        </w:rPr>
        <w:t xml:space="preserve"> value</w:t>
      </w:r>
      <w:proofErr w:type="gramEnd"/>
      <w:r w:rsidRPr="003D0C85">
        <w:rPr>
          <w:color w:val="EE0000"/>
          <w:lang w:val="en-GB"/>
        </w:rPr>
        <w:t xml:space="preserve"> applies not just for the ICT profession, but every profession on earth. You could say that </w:t>
      </w:r>
      <w:r w:rsidR="003D0C85" w:rsidRPr="003D0C85">
        <w:rPr>
          <w:color w:val="EE0000"/>
          <w:lang w:val="en-GB"/>
        </w:rPr>
        <w:t xml:space="preserve">the ACS values </w:t>
      </w:r>
      <w:r w:rsidRPr="003D0C85">
        <w:rPr>
          <w:color w:val="EE0000"/>
          <w:lang w:val="en-GB"/>
        </w:rPr>
        <w:t>is</w:t>
      </w:r>
      <w:r w:rsidR="003D0C85" w:rsidRPr="003D0C85">
        <w:rPr>
          <w:color w:val="EE0000"/>
          <w:lang w:val="en-GB"/>
        </w:rPr>
        <w:t xml:space="preserve"> just</w:t>
      </w:r>
      <w:r w:rsidRPr="003D0C85">
        <w:rPr>
          <w:color w:val="EE0000"/>
          <w:lang w:val="en-GB"/>
        </w:rPr>
        <w:t xml:space="preserve"> an essential part of being </w:t>
      </w:r>
      <w:r w:rsidR="003D0C85" w:rsidRPr="003D0C85">
        <w:rPr>
          <w:color w:val="EE0000"/>
          <w:lang w:val="en-GB"/>
        </w:rPr>
        <w:t>a better person at its core</w:t>
      </w:r>
      <w:r w:rsidRPr="003D0C85">
        <w:rPr>
          <w:color w:val="EE0000"/>
          <w:lang w:val="en-GB"/>
        </w:rPr>
        <w:t>.</w:t>
      </w:r>
    </w:p>
    <w:p w14:paraId="18EB8C04" w14:textId="77777777" w:rsidR="00B03ACD" w:rsidRDefault="00B03ACD" w:rsidP="00B03ACD">
      <w:pPr>
        <w:rPr>
          <w:lang w:val="en-GB"/>
        </w:rPr>
      </w:pPr>
    </w:p>
    <w:p w14:paraId="689F3D97" w14:textId="2D101F2C" w:rsidR="00B03ACD" w:rsidRPr="00B03ACD" w:rsidRDefault="00B03ACD" w:rsidP="00B03ACD">
      <w:pPr>
        <w:rPr>
          <w:lang w:val="en-GB"/>
        </w:rPr>
      </w:pPr>
    </w:p>
    <w:p w14:paraId="06FF26A0" w14:textId="77777777" w:rsidR="00F86FE8" w:rsidRDefault="00F86FE8">
      <w:pPr>
        <w:rPr>
          <w:lang w:val="en-GB"/>
        </w:rPr>
      </w:pPr>
      <w:r>
        <w:rPr>
          <w:lang w:val="en-GB"/>
        </w:rPr>
        <w:br w:type="page"/>
      </w:r>
    </w:p>
    <w:p w14:paraId="641972A7" w14:textId="68BD7271" w:rsidR="00F86FE8" w:rsidRDefault="00F86FE8" w:rsidP="0096788D">
      <w:pPr>
        <w:rPr>
          <w:lang w:val="en-GB"/>
        </w:rPr>
      </w:pPr>
      <w:r>
        <w:rPr>
          <w:lang w:val="en-GB"/>
        </w:rPr>
        <w:lastRenderedPageBreak/>
        <w:t>References</w:t>
      </w:r>
    </w:p>
    <w:p w14:paraId="5E8E7675" w14:textId="04F42D7F" w:rsidR="002B672D" w:rsidRPr="002B672D" w:rsidRDefault="002B672D" w:rsidP="002B672D">
      <w:pPr>
        <w:rPr>
          <w:lang w:val="en-GB"/>
        </w:rPr>
      </w:pPr>
      <w:r w:rsidRPr="002B672D">
        <w:rPr>
          <w:b/>
          <w:bCs/>
          <w:lang w:val="en-GB"/>
        </w:rPr>
        <w:t>Australian Computer Society (ACS)</w:t>
      </w:r>
      <w:r w:rsidRPr="002B672D">
        <w:rPr>
          <w:lang w:val="en-GB"/>
        </w:rPr>
        <w:t xml:space="preserve"> 2023, ACS Code of Professional Conduct, Australian Computer Society, viewed </w:t>
      </w:r>
      <w:r>
        <w:rPr>
          <w:lang w:val="en-GB"/>
        </w:rPr>
        <w:t>27 December</w:t>
      </w:r>
      <w:r w:rsidRPr="002B672D">
        <w:rPr>
          <w:lang w:val="en-GB"/>
        </w:rPr>
        <w:t xml:space="preserve"> 2025,</w:t>
      </w:r>
      <w:r>
        <w:rPr>
          <w:lang w:val="en-GB"/>
        </w:rPr>
        <w:t xml:space="preserve"> &lt;</w:t>
      </w:r>
      <w:r w:rsidRPr="002B672D">
        <w:rPr>
          <w:lang w:val="en-GB"/>
        </w:rPr>
        <w:t>https://www.acs.org.au/about-us/ethics.html</w:t>
      </w:r>
      <w:r>
        <w:rPr>
          <w:lang w:val="en-GB"/>
        </w:rPr>
        <w:t>&gt;</w:t>
      </w:r>
      <w:r w:rsidRPr="002B672D">
        <w:rPr>
          <w:lang w:val="en-GB"/>
        </w:rPr>
        <w:t>.</w:t>
      </w:r>
    </w:p>
    <w:p w14:paraId="2DBA26C2" w14:textId="276712FA" w:rsidR="002B672D" w:rsidRPr="002B672D" w:rsidRDefault="002B672D" w:rsidP="002B672D">
      <w:pPr>
        <w:rPr>
          <w:lang w:val="en-GB"/>
        </w:rPr>
      </w:pPr>
      <w:r w:rsidRPr="002B672D">
        <w:rPr>
          <w:b/>
          <w:bCs/>
          <w:lang w:val="en-GB"/>
        </w:rPr>
        <w:t>Atlassian</w:t>
      </w:r>
      <w:r w:rsidRPr="002B672D">
        <w:rPr>
          <w:lang w:val="en-GB"/>
        </w:rPr>
        <w:t xml:space="preserve"> 2025, Organizational learning yields happier, more adaptable teams, Atlassian, viewed </w:t>
      </w:r>
      <w:r>
        <w:rPr>
          <w:lang w:val="en-GB"/>
        </w:rPr>
        <w:t>27 December</w:t>
      </w:r>
      <w:r w:rsidRPr="002B672D">
        <w:rPr>
          <w:lang w:val="en-GB"/>
        </w:rPr>
        <w:t xml:space="preserve"> 2025,</w:t>
      </w:r>
      <w:r>
        <w:rPr>
          <w:lang w:val="en-GB"/>
        </w:rPr>
        <w:t xml:space="preserve"> &lt;</w:t>
      </w:r>
      <w:r w:rsidRPr="002B672D">
        <w:rPr>
          <w:lang w:val="en-GB"/>
        </w:rPr>
        <w:t>https://www.atlassian.com/blog/strategy/organizational-learning</w:t>
      </w:r>
      <w:r>
        <w:rPr>
          <w:lang w:val="en-GB"/>
        </w:rPr>
        <w:t>&gt;</w:t>
      </w:r>
      <w:r w:rsidRPr="002B672D">
        <w:rPr>
          <w:lang w:val="en-GB"/>
        </w:rPr>
        <w:t>.</w:t>
      </w:r>
    </w:p>
    <w:p w14:paraId="6215C126" w14:textId="4C4DD989" w:rsidR="002B672D" w:rsidRPr="002B672D" w:rsidRDefault="002B672D" w:rsidP="002B672D">
      <w:pPr>
        <w:rPr>
          <w:lang w:val="en-GB"/>
        </w:rPr>
      </w:pPr>
      <w:r w:rsidRPr="002B672D">
        <w:rPr>
          <w:b/>
          <w:bCs/>
          <w:lang w:val="en-GB"/>
        </w:rPr>
        <w:t>Brenner, S.</w:t>
      </w:r>
      <w:r w:rsidRPr="002B672D">
        <w:rPr>
          <w:lang w:val="en-GB"/>
        </w:rPr>
        <w:t xml:space="preserve"> 2019, Cybercrime and the law, Northeastern University Press, Boston.</w:t>
      </w:r>
    </w:p>
    <w:p w14:paraId="435A9082" w14:textId="5CC6A8FD" w:rsidR="002B672D" w:rsidRPr="002B672D" w:rsidRDefault="002B672D" w:rsidP="002B672D">
      <w:pPr>
        <w:rPr>
          <w:lang w:val="en-GB"/>
        </w:rPr>
      </w:pPr>
      <w:r w:rsidRPr="002B672D">
        <w:rPr>
          <w:b/>
          <w:bCs/>
          <w:lang w:val="en-GB"/>
        </w:rPr>
        <w:t>Mill, J.S.</w:t>
      </w:r>
      <w:r w:rsidRPr="002B672D">
        <w:rPr>
          <w:lang w:val="en-GB"/>
        </w:rPr>
        <w:t xml:space="preserve"> 1863, Utilitarianism, Parker, Son, and Bourn, London.</w:t>
      </w:r>
    </w:p>
    <w:p w14:paraId="0466B4F4" w14:textId="7FBFAE7A" w:rsidR="002B672D" w:rsidRPr="002B672D" w:rsidRDefault="002B672D" w:rsidP="002B672D">
      <w:pPr>
        <w:rPr>
          <w:lang w:val="en-GB"/>
        </w:rPr>
      </w:pPr>
      <w:r w:rsidRPr="002B672D">
        <w:rPr>
          <w:b/>
          <w:bCs/>
          <w:lang w:val="en-GB"/>
        </w:rPr>
        <w:t>Office of the Australian Information Commissioner (OAIC)</w:t>
      </w:r>
      <w:r w:rsidRPr="002B672D">
        <w:rPr>
          <w:lang w:val="en-GB"/>
        </w:rPr>
        <w:t xml:space="preserve"> 2023, Australian Privacy Principles guidelines, OAIC, viewed </w:t>
      </w:r>
      <w:r>
        <w:rPr>
          <w:lang w:val="en-GB"/>
        </w:rPr>
        <w:t>27 December</w:t>
      </w:r>
      <w:r w:rsidRPr="002B672D">
        <w:rPr>
          <w:lang w:val="en-GB"/>
        </w:rPr>
        <w:t xml:space="preserve"> 2025,</w:t>
      </w:r>
    </w:p>
    <w:p w14:paraId="315927FF" w14:textId="700DCEE2" w:rsidR="002B672D" w:rsidRPr="002B672D" w:rsidRDefault="002B672D" w:rsidP="002B672D">
      <w:pPr>
        <w:rPr>
          <w:lang w:val="en-GB"/>
        </w:rPr>
      </w:pPr>
      <w:r>
        <w:rPr>
          <w:lang w:val="en-GB"/>
        </w:rPr>
        <w:t>&lt;</w:t>
      </w:r>
      <w:r w:rsidRPr="002B672D">
        <w:rPr>
          <w:lang w:val="en-GB"/>
        </w:rPr>
        <w:t>https://www.oaic.gov.au/privacy/australian-privacy-principles-guidelines</w:t>
      </w:r>
      <w:r>
        <w:rPr>
          <w:lang w:val="en-GB"/>
        </w:rPr>
        <w:t>&gt;</w:t>
      </w:r>
      <w:r w:rsidRPr="002B672D">
        <w:rPr>
          <w:lang w:val="en-GB"/>
        </w:rPr>
        <w:t>.</w:t>
      </w:r>
    </w:p>
    <w:p w14:paraId="546801DE" w14:textId="52A99FDD" w:rsidR="002B672D" w:rsidRPr="002B672D" w:rsidRDefault="002B672D" w:rsidP="002B672D">
      <w:pPr>
        <w:rPr>
          <w:lang w:val="en-GB"/>
        </w:rPr>
      </w:pPr>
      <w:r w:rsidRPr="002B672D">
        <w:rPr>
          <w:lang w:val="en-GB"/>
        </w:rPr>
        <w:t xml:space="preserve">Royal Commission into the </w:t>
      </w:r>
      <w:proofErr w:type="spellStart"/>
      <w:r w:rsidRPr="002B672D">
        <w:rPr>
          <w:lang w:val="en-GB"/>
        </w:rPr>
        <w:t>Robodebt</w:t>
      </w:r>
      <w:proofErr w:type="spellEnd"/>
      <w:r w:rsidRPr="002B672D">
        <w:rPr>
          <w:lang w:val="en-GB"/>
        </w:rPr>
        <w:t xml:space="preserve"> Scheme 2023, Final report, Australian Government, Canberra, viewed </w:t>
      </w:r>
      <w:r>
        <w:rPr>
          <w:lang w:val="en-GB"/>
        </w:rPr>
        <w:t>27 December</w:t>
      </w:r>
      <w:r w:rsidRPr="002B672D">
        <w:rPr>
          <w:lang w:val="en-GB"/>
        </w:rPr>
        <w:t xml:space="preserve"> 2025,</w:t>
      </w:r>
      <w:r>
        <w:rPr>
          <w:lang w:val="en-GB"/>
        </w:rPr>
        <w:t xml:space="preserve"> &lt;</w:t>
      </w:r>
      <w:r w:rsidRPr="002B672D">
        <w:rPr>
          <w:lang w:val="en-GB"/>
        </w:rPr>
        <w:t>https://robodebt.royalcommission.gov.au</w:t>
      </w:r>
      <w:r>
        <w:rPr>
          <w:lang w:val="en-GB"/>
        </w:rPr>
        <w:t>&gt;</w:t>
      </w:r>
    </w:p>
    <w:p w14:paraId="61EB1EDD" w14:textId="01FEA6C5" w:rsidR="002B672D" w:rsidRPr="002B672D" w:rsidRDefault="002B672D" w:rsidP="002B672D">
      <w:pPr>
        <w:rPr>
          <w:lang w:val="en-GB"/>
        </w:rPr>
      </w:pPr>
      <w:proofErr w:type="spellStart"/>
      <w:r w:rsidRPr="002B672D">
        <w:rPr>
          <w:lang w:val="en-GB"/>
        </w:rPr>
        <w:t>Shneiderman</w:t>
      </w:r>
      <w:proofErr w:type="spellEnd"/>
      <w:r w:rsidRPr="002B672D">
        <w:rPr>
          <w:lang w:val="en-GB"/>
        </w:rPr>
        <w:t>, B. 2020, ‘Human-</w:t>
      </w:r>
      <w:proofErr w:type="spellStart"/>
      <w:r w:rsidRPr="002B672D">
        <w:rPr>
          <w:lang w:val="en-GB"/>
        </w:rPr>
        <w:t>centered</w:t>
      </w:r>
      <w:proofErr w:type="spellEnd"/>
      <w:r w:rsidRPr="002B672D">
        <w:rPr>
          <w:lang w:val="en-GB"/>
        </w:rPr>
        <w:t xml:space="preserve"> artificial intelligence: Reliable, safe &amp; trustworthy’, International Journal of Human–Computer Interaction, vol. 36, no. 6, pp. 495–504</w:t>
      </w:r>
      <w:r>
        <w:rPr>
          <w:lang w:val="en-GB"/>
        </w:rPr>
        <w:t>, published 20 March</w:t>
      </w:r>
      <w:r w:rsidR="000D5E2F">
        <w:rPr>
          <w:lang w:val="en-GB"/>
        </w:rPr>
        <w:t xml:space="preserve"> </w:t>
      </w:r>
      <w:r>
        <w:rPr>
          <w:lang w:val="en-GB"/>
        </w:rPr>
        <w:t>2020, viewed 27 December</w:t>
      </w:r>
      <w:r w:rsidRPr="002B672D">
        <w:rPr>
          <w:lang w:val="en-GB"/>
        </w:rPr>
        <w:t xml:space="preserve"> 2025,</w:t>
      </w:r>
      <w:r>
        <w:rPr>
          <w:lang w:val="en-GB"/>
        </w:rPr>
        <w:t xml:space="preserve"> &lt;</w:t>
      </w:r>
      <w:hyperlink r:id="rId4" w:history="1">
        <w:r w:rsidRPr="00C70CF8">
          <w:rPr>
            <w:rStyle w:val="Hyperlink"/>
            <w:lang w:val="en-GB"/>
          </w:rPr>
          <w:t>https://doi.org/10.1080/10447318.2020.1741118</w:t>
        </w:r>
      </w:hyperlink>
      <w:r>
        <w:rPr>
          <w:lang w:val="en-GB"/>
        </w:rPr>
        <w:t>&gt;.</w:t>
      </w:r>
    </w:p>
    <w:p w14:paraId="2AF86DE3" w14:textId="0A3208FE" w:rsidR="002B672D" w:rsidRPr="002B672D" w:rsidRDefault="002B672D" w:rsidP="002B672D">
      <w:pPr>
        <w:rPr>
          <w:lang w:val="en-GB"/>
        </w:rPr>
      </w:pPr>
      <w:r w:rsidRPr="002B672D">
        <w:rPr>
          <w:b/>
          <w:bCs/>
          <w:lang w:val="en-GB"/>
        </w:rPr>
        <w:t>Tavani, H.T.</w:t>
      </w:r>
      <w:r w:rsidRPr="002B672D">
        <w:rPr>
          <w:lang w:val="en-GB"/>
        </w:rPr>
        <w:t xml:space="preserve"> 2016, Ethics and technology: Controversies, questions, and strategies for ethical computing, 5th </w:t>
      </w:r>
      <w:proofErr w:type="spellStart"/>
      <w:r w:rsidRPr="002B672D">
        <w:rPr>
          <w:lang w:val="en-GB"/>
        </w:rPr>
        <w:t>edn</w:t>
      </w:r>
      <w:proofErr w:type="spellEnd"/>
      <w:r w:rsidRPr="002B672D">
        <w:rPr>
          <w:lang w:val="en-GB"/>
        </w:rPr>
        <w:t>, Wiley, Hoboken, NJ.</w:t>
      </w:r>
    </w:p>
    <w:p w14:paraId="0DC38204" w14:textId="5A8C47C1" w:rsidR="00F86FE8" w:rsidRPr="0096788D" w:rsidRDefault="002B672D" w:rsidP="002B672D">
      <w:pPr>
        <w:rPr>
          <w:lang w:val="en-GB"/>
        </w:rPr>
      </w:pPr>
      <w:r w:rsidRPr="002B672D">
        <w:rPr>
          <w:b/>
          <w:bCs/>
          <w:lang w:val="en-GB"/>
        </w:rPr>
        <w:t>World Health Organization (WHO)</w:t>
      </w:r>
      <w:r w:rsidRPr="002B672D">
        <w:rPr>
          <w:lang w:val="en-GB"/>
        </w:rPr>
        <w:t xml:space="preserve"> 2019, WHO guideline: Recommendations on digital interventions for health system strengthening, WHO, Geneva, viewed </w:t>
      </w:r>
      <w:r>
        <w:rPr>
          <w:lang w:val="en-GB"/>
        </w:rPr>
        <w:t>27 December</w:t>
      </w:r>
      <w:r w:rsidRPr="002B672D">
        <w:rPr>
          <w:lang w:val="en-GB"/>
        </w:rPr>
        <w:t xml:space="preserve"> 2025,</w:t>
      </w:r>
      <w:r>
        <w:rPr>
          <w:lang w:val="en-GB"/>
        </w:rPr>
        <w:t xml:space="preserve"> &lt;</w:t>
      </w:r>
      <w:r w:rsidRPr="002B672D">
        <w:rPr>
          <w:lang w:val="en-GB"/>
        </w:rPr>
        <w:t>https://www.who.int/publications/i/item/9789241550505</w:t>
      </w:r>
      <w:r>
        <w:rPr>
          <w:lang w:val="en-GB"/>
        </w:rPr>
        <w:t>&gt;</w:t>
      </w:r>
      <w:r w:rsidRPr="002B672D">
        <w:rPr>
          <w:lang w:val="en-GB"/>
        </w:rPr>
        <w:t>.</w:t>
      </w:r>
    </w:p>
    <w:sectPr w:rsidR="00F86FE8" w:rsidRPr="009678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D5"/>
    <w:rsid w:val="00054B77"/>
    <w:rsid w:val="000B029D"/>
    <w:rsid w:val="000D0A83"/>
    <w:rsid w:val="000D5E2F"/>
    <w:rsid w:val="0016621E"/>
    <w:rsid w:val="001D528D"/>
    <w:rsid w:val="002B672D"/>
    <w:rsid w:val="00340194"/>
    <w:rsid w:val="00346B17"/>
    <w:rsid w:val="00376EFD"/>
    <w:rsid w:val="003D0C85"/>
    <w:rsid w:val="0044134A"/>
    <w:rsid w:val="0070033C"/>
    <w:rsid w:val="00786856"/>
    <w:rsid w:val="008123DD"/>
    <w:rsid w:val="00813640"/>
    <w:rsid w:val="0096788D"/>
    <w:rsid w:val="00A46079"/>
    <w:rsid w:val="00B03ACD"/>
    <w:rsid w:val="00B10710"/>
    <w:rsid w:val="00C527F4"/>
    <w:rsid w:val="00C808FB"/>
    <w:rsid w:val="00E2263E"/>
    <w:rsid w:val="00E94D33"/>
    <w:rsid w:val="00F130AC"/>
    <w:rsid w:val="00F53335"/>
    <w:rsid w:val="00F86FE8"/>
    <w:rsid w:val="00FB5F78"/>
    <w:rsid w:val="00FE4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9CB3"/>
  <w15:chartTrackingRefBased/>
  <w15:docId w15:val="{2C60AE03-2DED-477D-A15E-5D897EB1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2D5"/>
    <w:rPr>
      <w:rFonts w:ascii="Arial" w:hAnsi="Arial"/>
    </w:rPr>
  </w:style>
  <w:style w:type="paragraph" w:styleId="Heading1">
    <w:name w:val="heading 1"/>
    <w:basedOn w:val="Normal"/>
    <w:next w:val="Normal"/>
    <w:link w:val="Heading1Char"/>
    <w:uiPriority w:val="9"/>
    <w:qFormat/>
    <w:rsid w:val="00FE42D5"/>
    <w:pPr>
      <w:outlineLvl w:val="0"/>
    </w:pPr>
    <w:rPr>
      <w:sz w:val="28"/>
    </w:rPr>
  </w:style>
  <w:style w:type="paragraph" w:styleId="Heading2">
    <w:name w:val="heading 2"/>
    <w:basedOn w:val="Normal"/>
    <w:next w:val="Normal"/>
    <w:link w:val="Heading2Char"/>
    <w:uiPriority w:val="9"/>
    <w:semiHidden/>
    <w:unhideWhenUsed/>
    <w:qFormat/>
    <w:rsid w:val="00FE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D5"/>
    <w:rPr>
      <w:rFonts w:ascii="Arial" w:hAnsi="Arial"/>
      <w:sz w:val="28"/>
    </w:rPr>
  </w:style>
  <w:style w:type="character" w:customStyle="1" w:styleId="Heading2Char">
    <w:name w:val="Heading 2 Char"/>
    <w:basedOn w:val="DefaultParagraphFont"/>
    <w:link w:val="Heading2"/>
    <w:uiPriority w:val="9"/>
    <w:semiHidden/>
    <w:rsid w:val="00FE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D5"/>
    <w:rPr>
      <w:rFonts w:eastAsiaTheme="majorEastAsia" w:cstheme="majorBidi"/>
      <w:color w:val="272727" w:themeColor="text1" w:themeTint="D8"/>
    </w:rPr>
  </w:style>
  <w:style w:type="paragraph" w:styleId="Title">
    <w:name w:val="Title"/>
    <w:basedOn w:val="Normal"/>
    <w:next w:val="Normal"/>
    <w:link w:val="TitleChar"/>
    <w:uiPriority w:val="10"/>
    <w:qFormat/>
    <w:rsid w:val="00FE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D5"/>
    <w:pPr>
      <w:spacing w:before="160"/>
      <w:jc w:val="center"/>
    </w:pPr>
    <w:rPr>
      <w:i/>
      <w:iCs/>
      <w:color w:val="404040" w:themeColor="text1" w:themeTint="BF"/>
    </w:rPr>
  </w:style>
  <w:style w:type="character" w:customStyle="1" w:styleId="QuoteChar">
    <w:name w:val="Quote Char"/>
    <w:basedOn w:val="DefaultParagraphFont"/>
    <w:link w:val="Quote"/>
    <w:uiPriority w:val="29"/>
    <w:rsid w:val="00FE42D5"/>
    <w:rPr>
      <w:i/>
      <w:iCs/>
      <w:color w:val="404040" w:themeColor="text1" w:themeTint="BF"/>
    </w:rPr>
  </w:style>
  <w:style w:type="paragraph" w:styleId="ListParagraph">
    <w:name w:val="List Paragraph"/>
    <w:basedOn w:val="Normal"/>
    <w:uiPriority w:val="34"/>
    <w:qFormat/>
    <w:rsid w:val="00FE42D5"/>
    <w:pPr>
      <w:ind w:left="720"/>
      <w:contextualSpacing/>
    </w:pPr>
  </w:style>
  <w:style w:type="character" w:styleId="IntenseEmphasis">
    <w:name w:val="Intense Emphasis"/>
    <w:basedOn w:val="DefaultParagraphFont"/>
    <w:uiPriority w:val="21"/>
    <w:qFormat/>
    <w:rsid w:val="00FE42D5"/>
    <w:rPr>
      <w:i/>
      <w:iCs/>
      <w:color w:val="0F4761" w:themeColor="accent1" w:themeShade="BF"/>
    </w:rPr>
  </w:style>
  <w:style w:type="paragraph" w:styleId="IntenseQuote">
    <w:name w:val="Intense Quote"/>
    <w:basedOn w:val="Normal"/>
    <w:next w:val="Normal"/>
    <w:link w:val="IntenseQuoteChar"/>
    <w:uiPriority w:val="30"/>
    <w:qFormat/>
    <w:rsid w:val="00FE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D5"/>
    <w:rPr>
      <w:i/>
      <w:iCs/>
      <w:color w:val="0F4761" w:themeColor="accent1" w:themeShade="BF"/>
    </w:rPr>
  </w:style>
  <w:style w:type="character" w:styleId="IntenseReference">
    <w:name w:val="Intense Reference"/>
    <w:basedOn w:val="DefaultParagraphFont"/>
    <w:uiPriority w:val="32"/>
    <w:qFormat/>
    <w:rsid w:val="00FE42D5"/>
    <w:rPr>
      <w:b/>
      <w:bCs/>
      <w:smallCaps/>
      <w:color w:val="0F4761" w:themeColor="accent1" w:themeShade="BF"/>
      <w:spacing w:val="5"/>
    </w:rPr>
  </w:style>
  <w:style w:type="character" w:styleId="Hyperlink">
    <w:name w:val="Hyperlink"/>
    <w:basedOn w:val="DefaultParagraphFont"/>
    <w:uiPriority w:val="99"/>
    <w:unhideWhenUsed/>
    <w:rsid w:val="002B672D"/>
    <w:rPr>
      <w:color w:val="467886" w:themeColor="hyperlink"/>
      <w:u w:val="single"/>
    </w:rPr>
  </w:style>
  <w:style w:type="character" w:styleId="UnresolvedMention">
    <w:name w:val="Unresolved Mention"/>
    <w:basedOn w:val="DefaultParagraphFont"/>
    <w:uiPriority w:val="99"/>
    <w:semiHidden/>
    <w:unhideWhenUsed/>
    <w:rsid w:val="002B672D"/>
    <w:rPr>
      <w:color w:val="605E5C"/>
      <w:shd w:val="clear" w:color="auto" w:fill="E1DFDD"/>
    </w:rPr>
  </w:style>
  <w:style w:type="character" w:styleId="FollowedHyperlink">
    <w:name w:val="FollowedHyperlink"/>
    <w:basedOn w:val="DefaultParagraphFont"/>
    <w:uiPriority w:val="99"/>
    <w:semiHidden/>
    <w:unhideWhenUsed/>
    <w:rsid w:val="002B67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80/10447318.2020.1741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Salim</dc:creator>
  <cp:keywords/>
  <dc:description/>
  <cp:lastModifiedBy>Rubin Salim</cp:lastModifiedBy>
  <cp:revision>2</cp:revision>
  <dcterms:created xsi:type="dcterms:W3CDTF">2026-01-07T02:11:00Z</dcterms:created>
  <dcterms:modified xsi:type="dcterms:W3CDTF">2026-01-07T02:11:00Z</dcterms:modified>
</cp:coreProperties>
</file>