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6248964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5D04E0" w:rsidRDefault="005D0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3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04E0" w:rsidRDefault="005D04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30/03/2025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3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04E0" w:rsidRDefault="005D04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30/03/2025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Pr="001E1BCA" w:rsidRDefault="00000000" w:rsidP="005D04E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04E0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5D04E0" w:rsidRPr="001E1BCA" w:rsidRDefault="00000000" w:rsidP="005D04E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04E0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04E0" w:rsidRDefault="005D04E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2876551</wp:posOffset>
                    </wp:positionH>
                    <wp:positionV relativeFrom="page">
                      <wp:posOffset>1866900</wp:posOffset>
                    </wp:positionV>
                    <wp:extent cx="4552950" cy="166687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Consumer Behaviour Analysis in E-Commerce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26.5pt;margin-top:147pt;width:358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" filled="f" stroked="f" strokeweight=".5pt">
                    <v:textbox inset="0,0,0,0">
                      <w:txbxContent>
                        <w:p w:rsidR="005D04E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Consumer Behaviour Analysis in E-Commerce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5243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5D04E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422283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20 - 29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>117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33.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42228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2283">
        <w:rPr>
          <w:rFonts w:ascii="Times New Roman" w:hAnsi="Times New Roman" w:cs="Times New Roman"/>
          <w:sz w:val="24"/>
          <w:szCs w:val="24"/>
        </w:rPr>
        <w:t>50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422283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2228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C0F25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C0F25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4C0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 w:rsidR="006A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A0EB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6A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A0E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 xml:space="preserve">was </w:t>
      </w:r>
      <w:r w:rsidR="00056B8B">
        <w:rPr>
          <w:rFonts w:ascii="Times New Roman" w:hAnsi="Times New Roman" w:cs="Times New Roman"/>
          <w:sz w:val="24"/>
          <w:szCs w:val="24"/>
        </w:rPr>
        <w:t>similar</w:t>
      </w:r>
      <w:r w:rsidR="00884E06">
        <w:rPr>
          <w:rFonts w:ascii="Times New Roman" w:hAnsi="Times New Roman" w:cs="Times New Roman"/>
          <w:sz w:val="24"/>
          <w:szCs w:val="24"/>
        </w:rPr>
        <w:t>,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E312B1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% male and 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056B8B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</w:t>
      </w:r>
      <w:r w:rsidR="006A0EBA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</w:t>
      </w:r>
      <w:r w:rsidR="006A0EBA">
        <w:rPr>
          <w:rFonts w:ascii="Times New Roman" w:hAnsi="Times New Roman" w:cs="Times New Roman"/>
          <w:sz w:val="24"/>
          <w:szCs w:val="24"/>
        </w:rPr>
        <w:t>0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 xml:space="preserve">The results from a </w:t>
      </w:r>
      <w:r w:rsidR="00884E06">
        <w:rPr>
          <w:rFonts w:ascii="Times New Roman" w:hAnsi="Times New Roman" w:cs="Times New Roman"/>
          <w:sz w:val="24"/>
          <w:szCs w:val="24"/>
        </w:rPr>
        <w:t>k-means</w:t>
      </w:r>
      <w:r w:rsidRPr="000D3369">
        <w:rPr>
          <w:rFonts w:ascii="Times New Roman" w:hAnsi="Times New Roman" w:cs="Times New Roman"/>
          <w:sz w:val="24"/>
          <w:szCs w:val="24"/>
        </w:rPr>
        <w:t xml:space="preserve"> cluster analysis are presented in Table 2.1 and Table 2.2.</w:t>
      </w:r>
    </w:p>
    <w:p w:rsidR="0025633B" w:rsidRPr="0025633B" w:rsidRDefault="00815462" w:rsidP="002563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45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368"/>
        <w:gridCol w:w="1368"/>
      </w:tblGrid>
      <w:tr w:rsidR="0025633B" w:rsidRPr="0025633B">
        <w:trPr>
          <w:cantSplit/>
        </w:trPr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Centres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Spend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1311.14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611.50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 Purchased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A43381" w:rsidRPr="00A43381" w:rsidRDefault="00815462" w:rsidP="00A43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tbl>
      <w:tblPr>
        <w:tblW w:w="34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1006"/>
        <w:gridCol w:w="1399"/>
      </w:tblGrid>
      <w:tr w:rsidR="00A43381" w:rsidRPr="00A43381"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Number of Cases in each Cluster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117.000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233.000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Missing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</w:tbl>
    <w:p w:rsidR="00A43381" w:rsidRPr="00A43381" w:rsidRDefault="00A43381" w:rsidP="00A4338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r w:rsidR="00DC70A0" w:rsidRPr="00617E34">
        <w:rPr>
          <w:rFonts w:ascii="Times New Roman" w:hAnsi="Times New Roman" w:cs="Times New Roman"/>
          <w:sz w:val="24"/>
          <w:szCs w:val="24"/>
        </w:rPr>
        <w:t>cente</w:t>
      </w:r>
      <w:r w:rsidR="00DC70A0">
        <w:rPr>
          <w:rFonts w:ascii="Times New Roman" w:hAnsi="Times New Roman" w:cs="Times New Roman"/>
          <w:sz w:val="24"/>
          <w:szCs w:val="24"/>
        </w:rPr>
        <w:t>r</w:t>
      </w:r>
      <w:r w:rsidR="00DC70A0" w:rsidRPr="00617E34">
        <w:rPr>
          <w:rFonts w:ascii="Times New Roman" w:hAnsi="Times New Roman" w:cs="Times New Roman"/>
          <w:sz w:val="24"/>
          <w:szCs w:val="24"/>
        </w:rPr>
        <w:t>s</w:t>
      </w:r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youngest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30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>with the highest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18</w:t>
      </w:r>
      <w:r w:rsidR="008F2C39">
        <w:rPr>
          <w:rFonts w:ascii="Times New Roman" w:hAnsi="Times New Roman" w:cs="Times New Roman"/>
          <w:sz w:val="24"/>
          <w:szCs w:val="24"/>
        </w:rPr>
        <w:t xml:space="preserve">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223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 w:rsidR="00DC5934">
        <w:rPr>
          <w:rFonts w:ascii="Times New Roman" w:hAnsi="Times New Roman" w:cs="Times New Roman"/>
          <w:sz w:val="24"/>
          <w:szCs w:val="24"/>
        </w:rPr>
        <w:t>5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10</w:t>
      </w:r>
      <w:r w:rsidRPr="00617E34">
        <w:rPr>
          <w:rFonts w:ascii="Times New Roman" w:hAnsi="Times New Roman" w:cs="Times New Roman"/>
          <w:sz w:val="24"/>
          <w:szCs w:val="24"/>
        </w:rPr>
        <w:t>)</w:t>
      </w:r>
      <w:r w:rsidR="00DC59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</w:t>
      </w:r>
      <w:r w:rsidR="00DC5934">
        <w:rPr>
          <w:rFonts w:ascii="Times New Roman" w:hAnsi="Times New Roman" w:cs="Times New Roman"/>
          <w:sz w:val="24"/>
          <w:szCs w:val="24"/>
        </w:rPr>
        <w:t>both</w:t>
      </w:r>
      <w:r w:rsidRPr="00617E34">
        <w:rPr>
          <w:rFonts w:ascii="Times New Roman" w:hAnsi="Times New Roman" w:cs="Times New Roman"/>
          <w:sz w:val="24"/>
          <w:szCs w:val="24"/>
        </w:rPr>
        <w:t xml:space="preserve"> clusters</w:t>
      </w:r>
      <w:r w:rsidR="00FC2C2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DC5934">
        <w:rPr>
          <w:rFonts w:ascii="Times New Roman" w:hAnsi="Times New Roman" w:cs="Times New Roman"/>
          <w:sz w:val="24"/>
          <w:szCs w:val="24"/>
        </w:rPr>
        <w:t>older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34">
        <w:rPr>
          <w:rFonts w:ascii="Times New Roman" w:hAnsi="Times New Roman" w:cs="Times New Roman"/>
          <w:sz w:val="24"/>
          <w:szCs w:val="24"/>
        </w:rPr>
        <w:t>tend</w:t>
      </w:r>
      <w:r>
        <w:rPr>
          <w:rFonts w:ascii="Times New Roman" w:hAnsi="Times New Roman" w:cs="Times New Roman"/>
          <w:sz w:val="24"/>
          <w:szCs w:val="24"/>
        </w:rPr>
        <w:t xml:space="preserve"> to spend less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8337E7">
        <w:rPr>
          <w:rFonts w:ascii="Times New Roman" w:hAnsi="Times New Roman" w:cs="Times New Roman"/>
          <w:sz w:val="24"/>
          <w:szCs w:val="24"/>
        </w:rPr>
        <w:t>younger, high-spending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FC2C2C">
        <w:rPr>
          <w:rFonts w:ascii="Times New Roman" w:hAnsi="Times New Roman" w:cs="Times New Roman"/>
          <w:sz w:val="24"/>
          <w:szCs w:val="24"/>
        </w:rPr>
        <w:t xml:space="preserve">and </w:t>
      </w:r>
      <w:r w:rsidRPr="009F40D5">
        <w:rPr>
          <w:rFonts w:ascii="Times New Roman" w:hAnsi="Times New Roman" w:cs="Times New Roman"/>
          <w:sz w:val="24"/>
          <w:szCs w:val="24"/>
        </w:rPr>
        <w:t xml:space="preserve">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DC5934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</w:t>
      </w:r>
      <w:r w:rsidR="00FC2C2C">
        <w:rPr>
          <w:rFonts w:ascii="Times New Roman" w:hAnsi="Times New Roman" w:cs="Times New Roman"/>
          <w:sz w:val="24"/>
          <w:szCs w:val="24"/>
        </w:rPr>
        <w:t>promotions</w:t>
      </w:r>
      <w:r w:rsidR="00481293">
        <w:rPr>
          <w:rFonts w:ascii="Times New Roman" w:hAnsi="Times New Roman" w:cs="Times New Roman"/>
          <w:sz w:val="24"/>
          <w:szCs w:val="24"/>
        </w:rPr>
        <w:t xml:space="preserve">. For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</w:t>
      </w:r>
      <w:r w:rsidR="00FC2C2C">
        <w:rPr>
          <w:rFonts w:ascii="Times New Roman" w:hAnsi="Times New Roman" w:cs="Times New Roman"/>
          <w:sz w:val="24"/>
          <w:szCs w:val="24"/>
        </w:rPr>
        <w:t>chi-squared test</w:t>
      </w:r>
      <w:r w:rsidRPr="00C50949">
        <w:rPr>
          <w:rFonts w:ascii="Times New Roman" w:hAnsi="Times New Roman" w:cs="Times New Roman"/>
          <w:sz w:val="24"/>
          <w:szCs w:val="24"/>
        </w:rPr>
        <w:t xml:space="preserve">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76"/>
        <w:gridCol w:w="960"/>
        <w:gridCol w:w="960"/>
        <w:gridCol w:w="1236"/>
        <w:gridCol w:w="88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9D11BA">
        <w:rPr>
          <w:rFonts w:ascii="Times New Roman" w:hAnsi="Times New Roman" w:cs="Times New Roman"/>
          <w:sz w:val="24"/>
          <w:szCs w:val="24"/>
        </w:rPr>
        <w:t>A 2x3 contingency table was used, so Cramer’s V coefficient was employed to calculate</w:t>
      </w:r>
      <w:r w:rsidR="00ED0164">
        <w:rPr>
          <w:rFonts w:ascii="Times New Roman" w:hAnsi="Times New Roman" w:cs="Times New Roman"/>
          <w:sz w:val="24"/>
          <w:szCs w:val="24"/>
        </w:rPr>
        <w:t xml:space="preserve">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 xml:space="preserve">. The </w:t>
      </w:r>
      <w:r w:rsidR="002A7AC0">
        <w:rPr>
          <w:rFonts w:ascii="Times New Roman" w:hAnsi="Times New Roman" w:cs="Times New Roman"/>
          <w:sz w:val="24"/>
          <w:szCs w:val="24"/>
        </w:rPr>
        <w:t>relationship between these variables was significant, χ</w:t>
      </w:r>
      <w:proofErr w:type="gramStart"/>
      <w:r w:rsidR="002A7AC0">
        <w:rPr>
          <w:rFonts w:ascii="Times New Roman" w:hAnsi="Times New Roman" w:cs="Times New Roman"/>
          <w:sz w:val="24"/>
          <w:szCs w:val="24"/>
        </w:rPr>
        <w:t>²</w:t>
      </w:r>
      <w:r w:rsidRPr="009C3A0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886FFC">
        <w:rPr>
          <w:rFonts w:ascii="Times New Roman" w:hAnsi="Times New Roman" w:cs="Times New Roman"/>
          <w:sz w:val="24"/>
          <w:szCs w:val="24"/>
        </w:rPr>
        <w:t>50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9E6AEA" w:rsidTr="00286C9E"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20-29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1156.29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272.07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30-39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720.90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318.71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597.62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56.43</w:t>
            </w:r>
          </w:p>
        </w:tc>
      </w:tr>
      <w:tr w:rsidR="009E6AEA" w:rsidTr="00286C9E"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845.13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354.99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401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</w:t>
            </w:r>
            <w:r w:rsidR="00FC2C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statistic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3765" w:rsidRDefault="005B376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Mean Difference    </w:t>
            </w:r>
            <w:proofErr w:type="gramStart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(</w:t>
            </w:r>
            <w:proofErr w:type="gramEnd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435.40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558.68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-435.40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-558.68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181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401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>%)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68234C">
        <w:rPr>
          <w:rFonts w:ascii="Times New Roman" w:hAnsi="Times New Roman" w:cs="Times New Roman"/>
          <w:sz w:val="24"/>
          <w:szCs w:val="24"/>
        </w:rPr>
        <w:t xml:space="preserve">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</w:t>
      </w:r>
      <w:r w:rsidR="00F410F5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F410F5">
        <w:rPr>
          <w:rFonts w:ascii="Times New Roman" w:hAnsi="Times New Roman" w:cs="Times New Roman"/>
          <w:sz w:val="24"/>
          <w:szCs w:val="24"/>
        </w:rPr>
        <w:t>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29</w:t>
      </w:r>
      <w:r w:rsidRPr="00F6147E">
        <w:rPr>
          <w:rFonts w:ascii="Times New Roman" w:hAnsi="Times New Roman" w:cs="Times New Roman"/>
          <w:sz w:val="24"/>
          <w:szCs w:val="24"/>
        </w:rPr>
        <w:t>) than those aged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90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="00F410F5">
        <w:rPr>
          <w:rFonts w:ascii="Times New Roman" w:hAnsi="Times New Roman" w:cs="Times New Roman"/>
          <w:sz w:val="24"/>
          <w:szCs w:val="24"/>
        </w:rPr>
        <w:t xml:space="preserve"> 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than those aged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62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68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and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Satisfaction </w:t>
            </w:r>
            <w:r w:rsidR="00FC2C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Level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Sliver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</w:t>
            </w:r>
            <w:r w:rsidR="005B7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C2271F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0923F4" w:rsidRPr="007A17E0" w:rsidTr="00E25495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0923F4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116.0</w:t>
            </w:r>
          </w:p>
        </w:tc>
      </w:tr>
      <w:tr w:rsidR="000923F4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C606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C60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DC1CC0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C606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C60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DC1CC0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  <w:r w:rsidR="000923F4"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836228">
        <w:rPr>
          <w:rFonts w:ascii="Times New Roman" w:hAnsi="Times New Roman" w:cs="Times New Roman"/>
          <w:sz w:val="24"/>
          <w:szCs w:val="24"/>
        </w:rPr>
        <w:t>09</w:t>
      </w:r>
      <w:r w:rsidR="00EC405B">
        <w:rPr>
          <w:rFonts w:ascii="Times New Roman" w:hAnsi="Times New Roman" w:cs="Times New Roman"/>
          <w:sz w:val="24"/>
          <w:szCs w:val="24"/>
        </w:rPr>
        <w:t>.</w:t>
      </w:r>
      <w:r w:rsidR="00836228">
        <w:rPr>
          <w:rFonts w:ascii="Times New Roman" w:hAnsi="Times New Roman" w:cs="Times New Roman"/>
          <w:sz w:val="24"/>
          <w:szCs w:val="24"/>
        </w:rPr>
        <w:t>44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836228">
        <w:rPr>
          <w:rFonts w:ascii="Times New Roman" w:hAnsi="Times New Roman" w:cs="Times New Roman"/>
          <w:sz w:val="24"/>
          <w:szCs w:val="24"/>
        </w:rPr>
        <w:t>793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proofErr w:type="gramStart"/>
      <w:r w:rsidRPr="00390C29">
        <w:rPr>
          <w:rFonts w:ascii="Times New Roman" w:hAnsi="Times New Roman" w:cs="Times New Roman"/>
          <w:sz w:val="24"/>
          <w:szCs w:val="24"/>
        </w:rPr>
        <w:t>²(</w:t>
      </w:r>
      <w:proofErr w:type="gramEnd"/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4F3668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</w:t>
      </w:r>
      <w:r w:rsidR="004F3668">
        <w:rPr>
          <w:rFonts w:ascii="Times New Roman" w:hAnsi="Times New Roman" w:cs="Times New Roman"/>
          <w:sz w:val="24"/>
          <w:szCs w:val="24"/>
        </w:rPr>
        <w:t>7</w:t>
      </w:r>
      <w:r w:rsidR="00A82888">
        <w:rPr>
          <w:rFonts w:ascii="Times New Roman" w:hAnsi="Times New Roman" w:cs="Times New Roman"/>
          <w:sz w:val="24"/>
          <w:szCs w:val="24"/>
        </w:rPr>
        <w:t>.8</w:t>
      </w:r>
      <w:r w:rsidR="004F3668">
        <w:rPr>
          <w:rFonts w:ascii="Times New Roman" w:hAnsi="Times New Roman" w:cs="Times New Roman"/>
          <w:sz w:val="24"/>
          <w:szCs w:val="24"/>
        </w:rPr>
        <w:t>9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4F3668">
        <w:rPr>
          <w:rFonts w:ascii="Times New Roman" w:hAnsi="Times New Roman" w:cs="Times New Roman"/>
          <w:sz w:val="24"/>
          <w:szCs w:val="24"/>
        </w:rPr>
        <w:t>800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F366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>). Gold members were more likely to report being satisfied (std. residual = 11.</w:t>
      </w:r>
      <w:r w:rsidR="00C2271F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C2271F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</w:t>
      </w:r>
      <w:r w:rsidR="00772883">
        <w:rPr>
          <w:rFonts w:ascii="Times New Roman" w:hAnsi="Times New Roman" w:cs="Times New Roman"/>
          <w:sz w:val="24"/>
          <w:szCs w:val="24"/>
        </w:rPr>
        <w:t>3.1</w:t>
      </w:r>
      <w:r w:rsidRPr="00390C29">
        <w:rPr>
          <w:rFonts w:ascii="Times New Roman" w:hAnsi="Times New Roman" w:cs="Times New Roman"/>
          <w:sz w:val="24"/>
          <w:szCs w:val="24"/>
        </w:rPr>
        <w:t>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96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82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245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68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593BF0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df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There was a </w:t>
      </w:r>
      <w:r w:rsidR="003647DF">
        <w:rPr>
          <w:rFonts w:ascii="Times New Roman" w:hAnsi="Times New Roman" w:cs="Times New Roman"/>
          <w:sz w:val="24"/>
          <w:szCs w:val="24"/>
        </w:rPr>
        <w:t xml:space="preserve">non-statistically </w:t>
      </w:r>
      <w:r w:rsidRPr="00390C29">
        <w:rPr>
          <w:rFonts w:ascii="Times New Roman" w:hAnsi="Times New Roman" w:cs="Times New Roman"/>
          <w:sz w:val="24"/>
          <w:szCs w:val="24"/>
        </w:rPr>
        <w:t>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821.40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61</w:t>
      </w:r>
      <w:r w:rsidRPr="00390C29">
        <w:rPr>
          <w:rFonts w:ascii="Times New Roman" w:hAnsi="Times New Roman" w:cs="Times New Roman"/>
          <w:sz w:val="24"/>
          <w:szCs w:val="24"/>
        </w:rPr>
        <w:t>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868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99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54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38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245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596</w:t>
      </w:r>
      <w:r w:rsidRPr="00DF17D9">
        <w:rPr>
          <w:rFonts w:ascii="Times New Roman" w:hAnsi="Times New Roman" w:cs="Times New Roman"/>
          <w:sz w:val="24"/>
          <w:szCs w:val="24"/>
        </w:rPr>
        <w:t xml:space="preserve">) = 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251</w:t>
      </w:r>
      <w:r w:rsidRPr="00DF17D9">
        <w:rPr>
          <w:rFonts w:ascii="Times New Roman" w:hAnsi="Times New Roman" w:cs="Times New Roman"/>
          <w:sz w:val="24"/>
          <w:szCs w:val="24"/>
        </w:rPr>
        <w:t xml:space="preserve">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0.212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BB49BC">
        <w:rPr>
          <w:rFonts w:ascii="Times New Roman" w:hAnsi="Times New Roman" w:cs="Times New Roman"/>
          <w:sz w:val="24"/>
          <w:szCs w:val="24"/>
        </w:rPr>
        <w:t>-</w:t>
      </w:r>
      <w:r w:rsidR="00BB49BC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B49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D2E03" w:rsidRDefault="007D2E03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FC2C2C">
        <w:rPr>
          <w:rFonts w:ascii="Times New Roman" w:hAnsi="Times New Roman" w:cs="Times New Roman"/>
          <w:sz w:val="24"/>
          <w:szCs w:val="24"/>
        </w:rPr>
        <w:t>Spearman’s</w:t>
      </w:r>
      <w:r w:rsidR="00CA6528">
        <w:rPr>
          <w:rFonts w:ascii="Times New Roman" w:hAnsi="Times New Roman" w:cs="Times New Roman"/>
          <w:sz w:val="24"/>
          <w:szCs w:val="24"/>
        </w:rPr>
        <w:t xml:space="preserve">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593B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1E18F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0257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="001E18FE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593B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1B7B3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593B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</w:t>
            </w:r>
            <w:r w:rsidR="00593B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.7</w:t>
      </w:r>
      <w:r w:rsidR="00CD371C">
        <w:rPr>
          <w:rFonts w:ascii="Times New Roman" w:hAnsi="Times New Roman" w:cs="Times New Roman"/>
          <w:sz w:val="24"/>
          <w:szCs w:val="24"/>
        </w:rPr>
        <w:t>47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FC2C2C">
        <w:rPr>
          <w:rFonts w:ascii="Times New Roman" w:hAnsi="Times New Roman" w:cs="Times New Roman"/>
          <w:sz w:val="24"/>
          <w:szCs w:val="24"/>
        </w:rPr>
        <w:t>.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It</w:t>
      </w:r>
      <w:r w:rsidR="005D48AC">
        <w:rPr>
          <w:rFonts w:ascii="Times New Roman" w:hAnsi="Times New Roman" w:cs="Times New Roman"/>
          <w:sz w:val="24"/>
          <w:szCs w:val="24"/>
        </w:rPr>
        <w:t xml:space="preserve"> could be that satisfied customers </w:t>
      </w:r>
      <w:r w:rsidR="005D48AC" w:rsidRPr="005D48AC">
        <w:rPr>
          <w:rFonts w:ascii="Times New Roman" w:hAnsi="Times New Roman" w:cs="Times New Roman"/>
          <w:sz w:val="24"/>
          <w:szCs w:val="24"/>
        </w:rPr>
        <w:t>don’t feel pressured to buy frequently</w:t>
      </w:r>
      <w:r w:rsidR="005D48AC">
        <w:rPr>
          <w:rFonts w:ascii="Times New Roman" w:hAnsi="Times New Roman" w:cs="Times New Roman"/>
          <w:sz w:val="24"/>
          <w:szCs w:val="24"/>
        </w:rPr>
        <w:t>, and thus, t</w:t>
      </w:r>
      <w:r w:rsidR="005D48AC" w:rsidRPr="005D48AC">
        <w:rPr>
          <w:rFonts w:ascii="Times New Roman" w:hAnsi="Times New Roman" w:cs="Times New Roman"/>
          <w:sz w:val="24"/>
          <w:szCs w:val="24"/>
        </w:rPr>
        <w:t>hey may only return when they need something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5D48AC" w:rsidRPr="005D48AC">
        <w:rPr>
          <w:rFonts w:ascii="Times New Roman" w:hAnsi="Times New Roman" w:cs="Times New Roman"/>
          <w:sz w:val="24"/>
          <w:szCs w:val="24"/>
        </w:rPr>
        <w:t xml:space="preserve"> but still report high satisfaction.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days since </w:t>
      </w:r>
      <w:r w:rsidR="005D48AC">
        <w:rPr>
          <w:rFonts w:ascii="Times New Roman" w:hAnsi="Times New Roman" w:cs="Times New Roman"/>
          <w:sz w:val="24"/>
          <w:szCs w:val="24"/>
        </w:rPr>
        <w:t>the 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last purchase </w:t>
      </w:r>
      <w:r w:rsidR="005D48AC">
        <w:rPr>
          <w:rFonts w:ascii="Times New Roman" w:hAnsi="Times New Roman" w:cs="Times New Roman"/>
          <w:sz w:val="24"/>
          <w:szCs w:val="24"/>
        </w:rPr>
        <w:t xml:space="preserve">and </w:t>
      </w:r>
      <w:r w:rsidR="00B60EF7">
        <w:rPr>
          <w:rFonts w:ascii="Times New Roman" w:hAnsi="Times New Roman" w:cs="Times New Roman"/>
          <w:sz w:val="24"/>
          <w:szCs w:val="24"/>
        </w:rPr>
        <w:t>membership type was negative and significant (</w:t>
      </w:r>
      <w:proofErr w:type="spellStart"/>
      <w:r w:rsidR="00B60EF7" w:rsidRPr="00B60EF7">
        <w:rPr>
          <w:rFonts w:ascii="Times New Roman" w:hAnsi="Times New Roman" w:cs="Times New Roman"/>
          <w:sz w:val="24"/>
          <w:szCs w:val="24"/>
        </w:rPr>
        <w:t>r</w:t>
      </w:r>
      <w:r w:rsidR="00B60EF7" w:rsidRPr="00B60EF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B60E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60EF7">
        <w:rPr>
          <w:rFonts w:ascii="Times New Roman" w:hAnsi="Times New Roman" w:cs="Times New Roman"/>
          <w:sz w:val="24"/>
          <w:szCs w:val="24"/>
        </w:rPr>
        <w:t>= -.4</w:t>
      </w:r>
      <w:r w:rsidR="00E0257E">
        <w:rPr>
          <w:rFonts w:ascii="Times New Roman" w:hAnsi="Times New Roman" w:cs="Times New Roman"/>
          <w:sz w:val="24"/>
          <w:szCs w:val="24"/>
        </w:rPr>
        <w:t>76</w:t>
      </w:r>
      <w:r w:rsidR="00B60EF7">
        <w:rPr>
          <w:rFonts w:ascii="Times New Roman" w:hAnsi="Times New Roman" w:cs="Times New Roman"/>
          <w:sz w:val="24"/>
          <w:szCs w:val="24"/>
        </w:rPr>
        <w:t xml:space="preserve">, </w:t>
      </w:r>
      <w:r w:rsidR="00B60EF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60EF7">
        <w:rPr>
          <w:rFonts w:ascii="Times New Roman" w:hAnsi="Times New Roman" w:cs="Times New Roman"/>
          <w:sz w:val="24"/>
          <w:szCs w:val="24"/>
        </w:rPr>
        <w:t>&gt;.001)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9229DD">
        <w:rPr>
          <w:rFonts w:ascii="Times New Roman" w:hAnsi="Times New Roman" w:cs="Times New Roman"/>
          <w:sz w:val="24"/>
          <w:szCs w:val="24"/>
        </w:rPr>
        <w:t xml:space="preserve"> indicating that h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igher-tier members </w:t>
      </w:r>
      <w:r w:rsidR="009229DD" w:rsidRPr="009229DD">
        <w:rPr>
          <w:rFonts w:ascii="Times New Roman" w:hAnsi="Times New Roman" w:cs="Times New Roman"/>
          <w:sz w:val="24"/>
          <w:szCs w:val="24"/>
        </w:rPr>
        <w:lastRenderedPageBreak/>
        <w:t>(Gold) purchase more often</w:t>
      </w:r>
      <w:r w:rsidR="009229DD">
        <w:rPr>
          <w:rFonts w:ascii="Times New Roman" w:hAnsi="Times New Roman" w:cs="Times New Roman"/>
          <w:sz w:val="24"/>
          <w:szCs w:val="24"/>
        </w:rPr>
        <w:t>. M</w:t>
      </w:r>
      <w:r w:rsidRPr="00226640">
        <w:rPr>
          <w:rFonts w:ascii="Times New Roman" w:hAnsi="Times New Roman" w:cs="Times New Roman"/>
          <w:sz w:val="24"/>
          <w:szCs w:val="24"/>
        </w:rPr>
        <w:t>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229DD">
        <w:rPr>
          <w:rFonts w:ascii="Times New Roman" w:hAnsi="Times New Roman" w:cs="Times New Roman"/>
          <w:sz w:val="24"/>
          <w:szCs w:val="24"/>
        </w:rPr>
        <w:t>were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3048C">
        <w:rPr>
          <w:rFonts w:ascii="Times New Roman" w:hAnsi="Times New Roman" w:cs="Times New Roman"/>
          <w:sz w:val="24"/>
          <w:szCs w:val="24"/>
        </w:rPr>
        <w:t>negative and</w:t>
      </w:r>
      <w:r w:rsidR="006B5D52">
        <w:rPr>
          <w:rFonts w:ascii="Times New Roman" w:hAnsi="Times New Roman" w:cs="Times New Roman"/>
          <w:sz w:val="24"/>
          <w:szCs w:val="24"/>
        </w:rPr>
        <w:t xml:space="preserve">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</w:t>
      </w:r>
      <w:r w:rsidR="00E0257E">
        <w:rPr>
          <w:rFonts w:ascii="Times New Roman" w:hAnsi="Times New Roman" w:cs="Times New Roman"/>
          <w:sz w:val="24"/>
          <w:szCs w:val="24"/>
        </w:rPr>
        <w:t>-</w:t>
      </w:r>
      <w:r w:rsidRPr="00226640">
        <w:rPr>
          <w:rFonts w:ascii="Times New Roman" w:hAnsi="Times New Roman" w:cs="Times New Roman"/>
          <w:sz w:val="24"/>
          <w:szCs w:val="24"/>
        </w:rPr>
        <w:t>.7</w:t>
      </w:r>
      <w:r w:rsidR="00CD371C">
        <w:rPr>
          <w:rFonts w:ascii="Times New Roman" w:hAnsi="Times New Roman" w:cs="Times New Roman"/>
          <w:sz w:val="24"/>
          <w:szCs w:val="24"/>
        </w:rPr>
        <w:t>33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</w:t>
      </w:r>
      <w:r w:rsidR="009229DD">
        <w:rPr>
          <w:rFonts w:ascii="Times New Roman" w:hAnsi="Times New Roman" w:cs="Times New Roman"/>
          <w:sz w:val="24"/>
          <w:szCs w:val="24"/>
        </w:rPr>
        <w:t xml:space="preserve">. A possible explanation could be that </w:t>
      </w:r>
      <w:r w:rsidR="00B4313F" w:rsidRPr="009229DD">
        <w:rPr>
          <w:rFonts w:ascii="Times New Roman" w:hAnsi="Times New Roman" w:cs="Times New Roman"/>
          <w:sz w:val="24"/>
          <w:szCs w:val="24"/>
        </w:rPr>
        <w:t>gold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 may expect VIP treatment, so even minor inconveniences lower their satisfaction more than </w:t>
      </w:r>
      <w:r w:rsidR="00B4313F" w:rsidRPr="009229DD">
        <w:rPr>
          <w:rFonts w:ascii="Times New Roman" w:hAnsi="Times New Roman" w:cs="Times New Roman"/>
          <w:sz w:val="24"/>
          <w:szCs w:val="24"/>
        </w:rPr>
        <w:t>bronze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109B" w:rsidRDefault="00B2109B" w:rsidP="00142A28">
      <w:pPr>
        <w:spacing w:after="0" w:line="240" w:lineRule="auto"/>
      </w:pPr>
      <w:r>
        <w:separator/>
      </w:r>
    </w:p>
  </w:endnote>
  <w:endnote w:type="continuationSeparator" w:id="0">
    <w:p w:rsidR="00B2109B" w:rsidRDefault="00B2109B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109B" w:rsidRDefault="00B2109B" w:rsidP="00142A28">
      <w:pPr>
        <w:spacing w:after="0" w:line="240" w:lineRule="auto"/>
      </w:pPr>
      <w:r>
        <w:separator/>
      </w:r>
    </w:p>
  </w:footnote>
  <w:footnote w:type="continuationSeparator" w:id="0">
    <w:p w:rsidR="00B2109B" w:rsidRDefault="00B2109B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56B8B"/>
    <w:rsid w:val="0005791A"/>
    <w:rsid w:val="000618D9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3F4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6E2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10443F"/>
    <w:rsid w:val="001105AE"/>
    <w:rsid w:val="00113405"/>
    <w:rsid w:val="00116B4E"/>
    <w:rsid w:val="0012003D"/>
    <w:rsid w:val="00122616"/>
    <w:rsid w:val="00131C3C"/>
    <w:rsid w:val="00131FC3"/>
    <w:rsid w:val="00136812"/>
    <w:rsid w:val="00141115"/>
    <w:rsid w:val="00142A28"/>
    <w:rsid w:val="0014419B"/>
    <w:rsid w:val="00146CEF"/>
    <w:rsid w:val="001532DF"/>
    <w:rsid w:val="00153BC1"/>
    <w:rsid w:val="001558E8"/>
    <w:rsid w:val="00155F17"/>
    <w:rsid w:val="001609A1"/>
    <w:rsid w:val="0016109B"/>
    <w:rsid w:val="00171281"/>
    <w:rsid w:val="00171A4E"/>
    <w:rsid w:val="00174FC9"/>
    <w:rsid w:val="0018736D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B7B3E"/>
    <w:rsid w:val="001C681B"/>
    <w:rsid w:val="001C6A93"/>
    <w:rsid w:val="001D138B"/>
    <w:rsid w:val="001D3AEF"/>
    <w:rsid w:val="001D4C15"/>
    <w:rsid w:val="001D55F8"/>
    <w:rsid w:val="001E18FE"/>
    <w:rsid w:val="001E1BCA"/>
    <w:rsid w:val="001E1ECB"/>
    <w:rsid w:val="001E2D89"/>
    <w:rsid w:val="001E39B7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22CD"/>
    <w:rsid w:val="002231A1"/>
    <w:rsid w:val="00226640"/>
    <w:rsid w:val="002331BA"/>
    <w:rsid w:val="002372A0"/>
    <w:rsid w:val="002426D1"/>
    <w:rsid w:val="00242C84"/>
    <w:rsid w:val="00243B1E"/>
    <w:rsid w:val="00244655"/>
    <w:rsid w:val="00244A1B"/>
    <w:rsid w:val="00246153"/>
    <w:rsid w:val="0025367D"/>
    <w:rsid w:val="002548EC"/>
    <w:rsid w:val="0025633B"/>
    <w:rsid w:val="0025643B"/>
    <w:rsid w:val="0025763D"/>
    <w:rsid w:val="00275FB8"/>
    <w:rsid w:val="0028593C"/>
    <w:rsid w:val="00293769"/>
    <w:rsid w:val="002962BF"/>
    <w:rsid w:val="002A0C40"/>
    <w:rsid w:val="002A7AC0"/>
    <w:rsid w:val="002B253F"/>
    <w:rsid w:val="002B2CFF"/>
    <w:rsid w:val="002B4414"/>
    <w:rsid w:val="002B59AC"/>
    <w:rsid w:val="002C5DD3"/>
    <w:rsid w:val="002C6A18"/>
    <w:rsid w:val="002C7E19"/>
    <w:rsid w:val="002D0B93"/>
    <w:rsid w:val="002D5D32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0CA4"/>
    <w:rsid w:val="00351AB2"/>
    <w:rsid w:val="00352865"/>
    <w:rsid w:val="00357A61"/>
    <w:rsid w:val="003607E8"/>
    <w:rsid w:val="00360A0D"/>
    <w:rsid w:val="003647DF"/>
    <w:rsid w:val="00373359"/>
    <w:rsid w:val="00374764"/>
    <w:rsid w:val="0037509E"/>
    <w:rsid w:val="00375698"/>
    <w:rsid w:val="00383BAB"/>
    <w:rsid w:val="0038566C"/>
    <w:rsid w:val="00392251"/>
    <w:rsid w:val="003A3824"/>
    <w:rsid w:val="003A4B02"/>
    <w:rsid w:val="003A5FCE"/>
    <w:rsid w:val="003A6075"/>
    <w:rsid w:val="003B2A8D"/>
    <w:rsid w:val="003B3B15"/>
    <w:rsid w:val="003B7CAA"/>
    <w:rsid w:val="003C4513"/>
    <w:rsid w:val="003D4666"/>
    <w:rsid w:val="003D6BAD"/>
    <w:rsid w:val="003E0536"/>
    <w:rsid w:val="003E607E"/>
    <w:rsid w:val="003F75B4"/>
    <w:rsid w:val="004027F5"/>
    <w:rsid w:val="004035AD"/>
    <w:rsid w:val="004108BA"/>
    <w:rsid w:val="0041346B"/>
    <w:rsid w:val="00422283"/>
    <w:rsid w:val="00424094"/>
    <w:rsid w:val="00424115"/>
    <w:rsid w:val="004252D4"/>
    <w:rsid w:val="0042606A"/>
    <w:rsid w:val="00434B1F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869F5"/>
    <w:rsid w:val="004A3ED0"/>
    <w:rsid w:val="004A61EF"/>
    <w:rsid w:val="004B23ED"/>
    <w:rsid w:val="004C0608"/>
    <w:rsid w:val="004C0F25"/>
    <w:rsid w:val="004C151C"/>
    <w:rsid w:val="004C24BB"/>
    <w:rsid w:val="004C3E07"/>
    <w:rsid w:val="004D1DD4"/>
    <w:rsid w:val="004D425B"/>
    <w:rsid w:val="004D5CB7"/>
    <w:rsid w:val="004D6084"/>
    <w:rsid w:val="004D653A"/>
    <w:rsid w:val="004E04AD"/>
    <w:rsid w:val="004E0A85"/>
    <w:rsid w:val="004E0CF1"/>
    <w:rsid w:val="004F3668"/>
    <w:rsid w:val="00501BC1"/>
    <w:rsid w:val="005020AE"/>
    <w:rsid w:val="00514EF3"/>
    <w:rsid w:val="0052271B"/>
    <w:rsid w:val="005243DA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3BF0"/>
    <w:rsid w:val="005968EE"/>
    <w:rsid w:val="005A5352"/>
    <w:rsid w:val="005A7D85"/>
    <w:rsid w:val="005B3765"/>
    <w:rsid w:val="005B408F"/>
    <w:rsid w:val="005B77C5"/>
    <w:rsid w:val="005B7FF7"/>
    <w:rsid w:val="005C010E"/>
    <w:rsid w:val="005C5433"/>
    <w:rsid w:val="005C751F"/>
    <w:rsid w:val="005C7F7E"/>
    <w:rsid w:val="005D0496"/>
    <w:rsid w:val="005D04E0"/>
    <w:rsid w:val="005D0D41"/>
    <w:rsid w:val="005D2EF3"/>
    <w:rsid w:val="005D48AC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5206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EBA"/>
    <w:rsid w:val="006A0F81"/>
    <w:rsid w:val="006A2E73"/>
    <w:rsid w:val="006B5D52"/>
    <w:rsid w:val="006B6B51"/>
    <w:rsid w:val="006B7AD5"/>
    <w:rsid w:val="006C4FA1"/>
    <w:rsid w:val="006C689B"/>
    <w:rsid w:val="006D34B8"/>
    <w:rsid w:val="006E22D5"/>
    <w:rsid w:val="006E3800"/>
    <w:rsid w:val="006E422C"/>
    <w:rsid w:val="006E4BDD"/>
    <w:rsid w:val="006E5101"/>
    <w:rsid w:val="006E6490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1879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4BAE"/>
    <w:rsid w:val="0076652A"/>
    <w:rsid w:val="00766E64"/>
    <w:rsid w:val="00772883"/>
    <w:rsid w:val="00773F7D"/>
    <w:rsid w:val="00775D3C"/>
    <w:rsid w:val="00777569"/>
    <w:rsid w:val="007863FB"/>
    <w:rsid w:val="00790C0D"/>
    <w:rsid w:val="00792004"/>
    <w:rsid w:val="007B1918"/>
    <w:rsid w:val="007B4097"/>
    <w:rsid w:val="007C1E6D"/>
    <w:rsid w:val="007C470D"/>
    <w:rsid w:val="007D2E03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8D7"/>
    <w:rsid w:val="00831C4D"/>
    <w:rsid w:val="008337E7"/>
    <w:rsid w:val="008338C8"/>
    <w:rsid w:val="008351CC"/>
    <w:rsid w:val="00835EC1"/>
    <w:rsid w:val="00836228"/>
    <w:rsid w:val="00836BBA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0FB2"/>
    <w:rsid w:val="00874C55"/>
    <w:rsid w:val="00884E06"/>
    <w:rsid w:val="00886FFC"/>
    <w:rsid w:val="008908D6"/>
    <w:rsid w:val="008941ED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229DD"/>
    <w:rsid w:val="0093048C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11BA"/>
    <w:rsid w:val="009D590A"/>
    <w:rsid w:val="009E6AEA"/>
    <w:rsid w:val="009E7E4A"/>
    <w:rsid w:val="009F4434"/>
    <w:rsid w:val="009F71FC"/>
    <w:rsid w:val="00A056D9"/>
    <w:rsid w:val="00A075A0"/>
    <w:rsid w:val="00A10277"/>
    <w:rsid w:val="00A10609"/>
    <w:rsid w:val="00A3186F"/>
    <w:rsid w:val="00A43381"/>
    <w:rsid w:val="00A50DC9"/>
    <w:rsid w:val="00A52828"/>
    <w:rsid w:val="00A603F8"/>
    <w:rsid w:val="00A6342E"/>
    <w:rsid w:val="00A63FF8"/>
    <w:rsid w:val="00A64E5B"/>
    <w:rsid w:val="00A7351E"/>
    <w:rsid w:val="00A738A7"/>
    <w:rsid w:val="00A739F4"/>
    <w:rsid w:val="00A761E3"/>
    <w:rsid w:val="00A76B15"/>
    <w:rsid w:val="00A82888"/>
    <w:rsid w:val="00A9298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109B"/>
    <w:rsid w:val="00B21979"/>
    <w:rsid w:val="00B225B4"/>
    <w:rsid w:val="00B35283"/>
    <w:rsid w:val="00B35608"/>
    <w:rsid w:val="00B412EE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813F0"/>
    <w:rsid w:val="00B8178E"/>
    <w:rsid w:val="00B85469"/>
    <w:rsid w:val="00B912AD"/>
    <w:rsid w:val="00BB3617"/>
    <w:rsid w:val="00BB49BC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0EB5"/>
    <w:rsid w:val="00C14D75"/>
    <w:rsid w:val="00C15FCC"/>
    <w:rsid w:val="00C20EB4"/>
    <w:rsid w:val="00C2271F"/>
    <w:rsid w:val="00C315FC"/>
    <w:rsid w:val="00C34162"/>
    <w:rsid w:val="00C45C13"/>
    <w:rsid w:val="00C604CE"/>
    <w:rsid w:val="00C60670"/>
    <w:rsid w:val="00C6445B"/>
    <w:rsid w:val="00C64C25"/>
    <w:rsid w:val="00C82229"/>
    <w:rsid w:val="00C85069"/>
    <w:rsid w:val="00C85F16"/>
    <w:rsid w:val="00C87186"/>
    <w:rsid w:val="00C9403C"/>
    <w:rsid w:val="00C976DC"/>
    <w:rsid w:val="00CA0930"/>
    <w:rsid w:val="00CA4265"/>
    <w:rsid w:val="00CA6528"/>
    <w:rsid w:val="00CB17C3"/>
    <w:rsid w:val="00CB37E2"/>
    <w:rsid w:val="00CC13A4"/>
    <w:rsid w:val="00CC2C08"/>
    <w:rsid w:val="00CC68F3"/>
    <w:rsid w:val="00CC79AC"/>
    <w:rsid w:val="00CD17FA"/>
    <w:rsid w:val="00CD1FA8"/>
    <w:rsid w:val="00CD2B74"/>
    <w:rsid w:val="00CD371C"/>
    <w:rsid w:val="00CD648E"/>
    <w:rsid w:val="00CD785F"/>
    <w:rsid w:val="00CE7B82"/>
    <w:rsid w:val="00CF3402"/>
    <w:rsid w:val="00CF74FE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1CC0"/>
    <w:rsid w:val="00DC4E14"/>
    <w:rsid w:val="00DC5934"/>
    <w:rsid w:val="00DC70A0"/>
    <w:rsid w:val="00DD2411"/>
    <w:rsid w:val="00DD2AB8"/>
    <w:rsid w:val="00DF03EE"/>
    <w:rsid w:val="00DF17D9"/>
    <w:rsid w:val="00E0257E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57F49"/>
    <w:rsid w:val="00E65236"/>
    <w:rsid w:val="00E66462"/>
    <w:rsid w:val="00E7102A"/>
    <w:rsid w:val="00E81C5F"/>
    <w:rsid w:val="00E8281E"/>
    <w:rsid w:val="00E83DFB"/>
    <w:rsid w:val="00E86CDD"/>
    <w:rsid w:val="00E879C0"/>
    <w:rsid w:val="00E9461C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172F3"/>
    <w:rsid w:val="00F226E1"/>
    <w:rsid w:val="00F23576"/>
    <w:rsid w:val="00F263B4"/>
    <w:rsid w:val="00F27CD5"/>
    <w:rsid w:val="00F312B8"/>
    <w:rsid w:val="00F31A11"/>
    <w:rsid w:val="00F410F5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C2C"/>
    <w:rsid w:val="00FC2FF7"/>
    <w:rsid w:val="00FC7290"/>
    <w:rsid w:val="00FD0D3C"/>
    <w:rsid w:val="00FD14EE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5C4F2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16</Pages>
  <Words>1773</Words>
  <Characters>9557</Characters>
  <Application>Microsoft Office Word</Application>
  <DocSecurity>0</DocSecurity>
  <Lines>868</Lines>
  <Paragraphs>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Behaviour Analysis in E-Commerce</dc:title>
  <dc:subject/>
  <dc:creator>OSAS</dc:creator>
  <cp:keywords/>
  <dc:description/>
  <cp:lastModifiedBy>Omorede Iguma</cp:lastModifiedBy>
  <cp:revision>503</cp:revision>
  <dcterms:created xsi:type="dcterms:W3CDTF">2024-10-07T17:07:00Z</dcterms:created>
  <dcterms:modified xsi:type="dcterms:W3CDTF">2025-03-30T21:58:00Z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