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67B0" w:rsidRP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Customer Behavior</w:t>
                                    </w:r>
                                    <w:r w:rsidR="00E56C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  <w:r w:rsid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 E-Commerce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67B0" w:rsidRP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Customer Behavior</w:t>
                              </w:r>
                              <w:r w:rsidR="00E56C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  <w:r w:rsid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 E-Commerce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00837">
        <w:rPr>
          <w:rFonts w:ascii="Times New Roman" w:hAnsi="Times New Roman" w:cs="Times New Roman"/>
          <w:sz w:val="24"/>
          <w:szCs w:val="24"/>
        </w:rPr>
        <w:t>9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600837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F90164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30705B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proofErr w:type="spellStart"/>
      <w:r w:rsidRPr="00617E34">
        <w:rPr>
          <w:rFonts w:ascii="Times New Roman" w:hAnsi="Times New Roman" w:cs="Times New Roman"/>
          <w:sz w:val="24"/>
          <w:szCs w:val="24"/>
        </w:rPr>
        <w:t>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58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youngest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29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>with the highest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20).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</w:t>
      </w:r>
      <w:r w:rsidR="008F2C39">
        <w:rPr>
          <w:rFonts w:ascii="Times New Roman" w:hAnsi="Times New Roman" w:cs="Times New Roman"/>
          <w:sz w:val="24"/>
          <w:szCs w:val="24"/>
        </w:rPr>
        <w:t>117</w:t>
      </w:r>
      <w:r w:rsidR="00A76B15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8F2C39">
        <w:rPr>
          <w:rFonts w:ascii="Times New Roman" w:hAnsi="Times New Roman" w:cs="Times New Roman"/>
          <w:sz w:val="24"/>
          <w:szCs w:val="24"/>
        </w:rPr>
        <w:t>slightly older</w:t>
      </w:r>
      <w:r w:rsidR="00A76B15">
        <w:rPr>
          <w:rFonts w:ascii="Times New Roman" w:hAnsi="Times New Roman" w:cs="Times New Roman"/>
          <w:sz w:val="24"/>
          <w:szCs w:val="24"/>
        </w:rPr>
        <w:t xml:space="preserve">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</w:t>
      </w:r>
      <w:r w:rsidR="008F2C39">
        <w:rPr>
          <w:rFonts w:ascii="Times New Roman" w:hAnsi="Times New Roman" w:cs="Times New Roman"/>
          <w:sz w:val="24"/>
          <w:szCs w:val="24"/>
        </w:rPr>
        <w:t>32</w:t>
      </w:r>
      <w:r w:rsidR="00A76B15">
        <w:rPr>
          <w:rFonts w:ascii="Times New Roman" w:hAnsi="Times New Roman" w:cs="Times New Roman"/>
          <w:sz w:val="24"/>
          <w:szCs w:val="24"/>
        </w:rPr>
        <w:t xml:space="preserve">) </w:t>
      </w:r>
      <w:r w:rsidR="00754EFE">
        <w:rPr>
          <w:rFonts w:ascii="Times New Roman" w:hAnsi="Times New Roman" w:cs="Times New Roman"/>
          <w:sz w:val="24"/>
          <w:szCs w:val="24"/>
        </w:rPr>
        <w:t>with a low number of items purchased (</w:t>
      </w:r>
      <w:r w:rsidR="00754EF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754EFE">
        <w:rPr>
          <w:rFonts w:ascii="Times New Roman" w:hAnsi="Times New Roman" w:cs="Times New Roman"/>
          <w:sz w:val="24"/>
          <w:szCs w:val="24"/>
        </w:rPr>
        <w:t>= 15).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8337E7">
        <w:rPr>
          <w:rFonts w:ascii="Times New Roman" w:hAnsi="Times New Roman" w:cs="Times New Roman"/>
          <w:sz w:val="24"/>
          <w:szCs w:val="24"/>
        </w:rPr>
        <w:t>younger, high-spending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337E7">
        <w:rPr>
          <w:rFonts w:ascii="Times New Roman" w:hAnsi="Times New Roman" w:cs="Times New Roman"/>
          <w:sz w:val="24"/>
          <w:szCs w:val="24"/>
        </w:rPr>
        <w:t xml:space="preserve"> </w:t>
      </w:r>
      <w:r w:rsidR="00853519">
        <w:rPr>
          <w:rFonts w:ascii="Times New Roman" w:hAnsi="Times New Roman" w:cs="Times New Roman"/>
          <w:sz w:val="24"/>
          <w:szCs w:val="24"/>
        </w:rPr>
        <w:t xml:space="preserve">and Cluster 4 consists of 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middle-aged customers with </w:t>
      </w:r>
      <w:r w:rsidR="008337E7">
        <w:rPr>
          <w:rFonts w:ascii="Times New Roman" w:hAnsi="Times New Roman" w:cs="Times New Roman"/>
          <w:sz w:val="24"/>
          <w:szCs w:val="24"/>
        </w:rPr>
        <w:t>low</w:t>
      </w:r>
      <w:r w:rsidR="008337E7" w:rsidRPr="009F40D5">
        <w:rPr>
          <w:rFonts w:ascii="Times New Roman" w:hAnsi="Times New Roman" w:cs="Times New Roman"/>
          <w:sz w:val="24"/>
          <w:szCs w:val="24"/>
        </w:rPr>
        <w:t xml:space="preserve"> spending</w:t>
      </w:r>
      <w:r w:rsidR="00853519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proofErr w:type="spellStart"/>
      <w:r w:rsidR="00F871D6">
        <w:rPr>
          <w:rFonts w:ascii="Times New Roman" w:hAnsi="Times New Roman" w:cs="Times New Roman"/>
          <w:sz w:val="24"/>
          <w:szCs w:val="24"/>
        </w:rPr>
        <w:t>incentivise</w:t>
      </w:r>
      <w:proofErr w:type="spellEnd"/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02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27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89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77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318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536A7C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595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2254" w:type="dxa"/>
          </w:tcPr>
          <w:p w:rsidR="00C85F16" w:rsidRDefault="00DA47D0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57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536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DA4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230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106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statistics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71A4E" w:rsidRDefault="00171A4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Tamhane  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 w:rsidR="0052271B"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227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  <w:r w:rsidR="00855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252D4" w:rsidRPr="002124FF" w:rsidTr="00F45294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-129.59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252D4" w:rsidRPr="004252D4" w:rsidRDefault="004252D4" w:rsidP="004252D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5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2D4" w:rsidRPr="002124FF" w:rsidRDefault="004252D4" w:rsidP="004252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795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230.</w:t>
      </w:r>
      <w:r w:rsidR="002331BA">
        <w:rPr>
          <w:rFonts w:ascii="Times New Roman" w:hAnsi="Times New Roman" w:cs="Times New Roman"/>
          <w:sz w:val="24"/>
          <w:szCs w:val="24"/>
          <w:lang w:val="en-GB"/>
        </w:rPr>
        <w:t>106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68234C">
        <w:rPr>
          <w:rFonts w:ascii="Times New Roman" w:hAnsi="Times New Roman" w:cs="Times New Roman"/>
          <w:sz w:val="24"/>
          <w:szCs w:val="24"/>
        </w:rPr>
        <w:t xml:space="preserve">%);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1D3AEF">
        <w:rPr>
          <w:rFonts w:ascii="Times New Roman" w:hAnsi="Times New Roman" w:cs="Times New Roman"/>
          <w:sz w:val="24"/>
          <w:szCs w:val="24"/>
        </w:rPr>
        <w:t>4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Tamhane test revealed that customers under 30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1D3A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02</w:t>
      </w:r>
      <w:r w:rsidRPr="00F6147E">
        <w:rPr>
          <w:rFonts w:ascii="Times New Roman" w:hAnsi="Times New Roman" w:cs="Times New Roman"/>
          <w:sz w:val="24"/>
          <w:szCs w:val="24"/>
        </w:rPr>
        <w:t>) than those aged 31–39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724.77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D3AEF">
        <w:rPr>
          <w:rFonts w:ascii="Times New Roman" w:hAnsi="Times New Roman" w:cs="Times New Roman"/>
          <w:sz w:val="24"/>
          <w:szCs w:val="24"/>
          <w:lang w:val="en-GB"/>
        </w:rPr>
        <w:t>25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595.18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84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129.59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1B4837">
        <w:rPr>
          <w:rFonts w:ascii="Times New Roman" w:hAnsi="Times New Roman" w:cs="Times New Roman"/>
          <w:sz w:val="24"/>
          <w:szCs w:val="24"/>
        </w:rPr>
        <w:t>804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r w:rsidRPr="00390C29">
        <w:rPr>
          <w:rFonts w:ascii="Times New Roman" w:hAnsi="Times New Roman" w:cs="Times New Roman"/>
          <w:sz w:val="24"/>
          <w:szCs w:val="24"/>
        </w:rPr>
        <w:t>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non-significant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p&gt;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60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0.002*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F2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909.01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419.59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CD1FA8">
        <w:rPr>
          <w:rFonts w:ascii="Times New Roman" w:hAnsi="Times New Roman" w:cs="Times New Roman"/>
          <w:sz w:val="24"/>
          <w:szCs w:val="24"/>
        </w:rPr>
        <w:t>-</w:t>
      </w:r>
      <w:r w:rsidR="00E50F77" w:rsidRPr="00E50F77">
        <w:rPr>
          <w:rFonts w:ascii="Times New Roman" w:hAnsi="Times New Roman" w:cs="Times New Roman"/>
          <w:sz w:val="24"/>
          <w:szCs w:val="24"/>
        </w:rPr>
        <w:t>0.</w:t>
      </w:r>
      <w:r w:rsidR="00E50F77">
        <w:rPr>
          <w:rFonts w:ascii="Times New Roman" w:hAnsi="Times New Roman" w:cs="Times New Roman"/>
          <w:sz w:val="24"/>
          <w:szCs w:val="24"/>
        </w:rPr>
        <w:t>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negatively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result from a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6B5D5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>A positively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>last purchase and satisfaction level (r = .7</w:t>
      </w:r>
      <w:r w:rsidR="00F76951">
        <w:rPr>
          <w:rFonts w:ascii="Times New Roman" w:hAnsi="Times New Roman" w:cs="Times New Roman"/>
          <w:sz w:val="24"/>
          <w:szCs w:val="24"/>
        </w:rPr>
        <w:t>51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</w:t>
      </w:r>
      <w:r w:rsidR="006B5D52">
        <w:rPr>
          <w:rFonts w:ascii="Times New Roman" w:hAnsi="Times New Roman" w:cs="Times New Roman"/>
          <w:sz w:val="24"/>
          <w:szCs w:val="24"/>
        </w:rPr>
        <w:t>while a 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between membership type and satisfaction level</w:t>
      </w:r>
      <w:r w:rsidR="006B5D52">
        <w:rPr>
          <w:rFonts w:ascii="Times New Roman" w:hAnsi="Times New Roman" w:cs="Times New Roman"/>
          <w:sz w:val="24"/>
          <w:szCs w:val="24"/>
        </w:rPr>
        <w:t xml:space="preserve"> was negative and significan</w:t>
      </w:r>
      <w:r w:rsidR="00F76951">
        <w:rPr>
          <w:rFonts w:ascii="Times New Roman" w:hAnsi="Times New Roman" w:cs="Times New Roman"/>
          <w:sz w:val="24"/>
          <w:szCs w:val="24"/>
        </w:rPr>
        <w:t>t</w:t>
      </w:r>
      <w:r w:rsidRPr="00226640">
        <w:rPr>
          <w:rFonts w:ascii="Times New Roman" w:hAnsi="Times New Roman" w:cs="Times New Roman"/>
          <w:sz w:val="24"/>
          <w:szCs w:val="24"/>
        </w:rPr>
        <w:t xml:space="preserve"> (r = -.74</w:t>
      </w:r>
      <w:r w:rsidR="00F76951">
        <w:rPr>
          <w:rFonts w:ascii="Times New Roman" w:hAnsi="Times New Roman" w:cs="Times New Roman"/>
          <w:sz w:val="24"/>
          <w:szCs w:val="24"/>
        </w:rPr>
        <w:t>8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indicating that satisfaction level increases as time since the last purchase decreases and varies by membership type.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74A7" w:rsidRDefault="00F074A7" w:rsidP="00142A28">
      <w:pPr>
        <w:spacing w:after="0" w:line="240" w:lineRule="auto"/>
      </w:pPr>
      <w:r>
        <w:separator/>
      </w:r>
    </w:p>
  </w:endnote>
  <w:endnote w:type="continuationSeparator" w:id="0">
    <w:p w:rsidR="00F074A7" w:rsidRDefault="00F074A7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74A7" w:rsidRDefault="00F074A7" w:rsidP="00142A28">
      <w:pPr>
        <w:spacing w:after="0" w:line="240" w:lineRule="auto"/>
      </w:pPr>
      <w:r>
        <w:separator/>
      </w:r>
    </w:p>
  </w:footnote>
  <w:footnote w:type="continuationSeparator" w:id="0">
    <w:p w:rsidR="00F074A7" w:rsidRDefault="00F074A7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31C2"/>
    <w:rsid w:val="000619EB"/>
    <w:rsid w:val="0006260E"/>
    <w:rsid w:val="00062C64"/>
    <w:rsid w:val="00074057"/>
    <w:rsid w:val="00075286"/>
    <w:rsid w:val="000763C1"/>
    <w:rsid w:val="00085CB1"/>
    <w:rsid w:val="00087F5B"/>
    <w:rsid w:val="00091A88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7328"/>
    <w:rsid w:val="000E41A0"/>
    <w:rsid w:val="000F1FD7"/>
    <w:rsid w:val="0010443F"/>
    <w:rsid w:val="001105AE"/>
    <w:rsid w:val="00113405"/>
    <w:rsid w:val="00116B4E"/>
    <w:rsid w:val="0012003D"/>
    <w:rsid w:val="00131C3C"/>
    <w:rsid w:val="00131FC3"/>
    <w:rsid w:val="00136812"/>
    <w:rsid w:val="00141115"/>
    <w:rsid w:val="00142A28"/>
    <w:rsid w:val="0014419B"/>
    <w:rsid w:val="00146CEF"/>
    <w:rsid w:val="00153BC1"/>
    <w:rsid w:val="00155F17"/>
    <w:rsid w:val="001609A1"/>
    <w:rsid w:val="0016109B"/>
    <w:rsid w:val="00171281"/>
    <w:rsid w:val="00171A4E"/>
    <w:rsid w:val="00174FC9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C681B"/>
    <w:rsid w:val="001C6A93"/>
    <w:rsid w:val="001D138B"/>
    <w:rsid w:val="001D3AEF"/>
    <w:rsid w:val="001D4C15"/>
    <w:rsid w:val="001D55F8"/>
    <w:rsid w:val="001E1BCA"/>
    <w:rsid w:val="001E1ECB"/>
    <w:rsid w:val="001E2D89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31A1"/>
    <w:rsid w:val="00226640"/>
    <w:rsid w:val="002331BA"/>
    <w:rsid w:val="002372A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7437"/>
    <w:rsid w:val="00333E47"/>
    <w:rsid w:val="00337E6E"/>
    <w:rsid w:val="003417EA"/>
    <w:rsid w:val="00344DC0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3B15"/>
    <w:rsid w:val="003B7CAA"/>
    <w:rsid w:val="003C4513"/>
    <w:rsid w:val="003D4666"/>
    <w:rsid w:val="003D6BAD"/>
    <w:rsid w:val="003E607E"/>
    <w:rsid w:val="003F75B4"/>
    <w:rsid w:val="004027F5"/>
    <w:rsid w:val="004108BA"/>
    <w:rsid w:val="0041346B"/>
    <w:rsid w:val="00424094"/>
    <w:rsid w:val="00424115"/>
    <w:rsid w:val="004252D4"/>
    <w:rsid w:val="0042606A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3EAD"/>
    <w:rsid w:val="004A3ED0"/>
    <w:rsid w:val="004A61EF"/>
    <w:rsid w:val="004B23ED"/>
    <w:rsid w:val="004C0608"/>
    <w:rsid w:val="004C151C"/>
    <w:rsid w:val="004C24BB"/>
    <w:rsid w:val="004D1DD4"/>
    <w:rsid w:val="004D425B"/>
    <w:rsid w:val="004D5CB7"/>
    <w:rsid w:val="004D6084"/>
    <w:rsid w:val="004E04AD"/>
    <w:rsid w:val="004E0A85"/>
    <w:rsid w:val="004E0CF1"/>
    <w:rsid w:val="00501BC1"/>
    <w:rsid w:val="005020AE"/>
    <w:rsid w:val="00514EF3"/>
    <w:rsid w:val="0052271B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968EE"/>
    <w:rsid w:val="005A5352"/>
    <w:rsid w:val="005A7D85"/>
    <w:rsid w:val="005B408F"/>
    <w:rsid w:val="005C010E"/>
    <w:rsid w:val="005C5433"/>
    <w:rsid w:val="005C751F"/>
    <w:rsid w:val="005C7F7E"/>
    <w:rsid w:val="005D0496"/>
    <w:rsid w:val="005D0D41"/>
    <w:rsid w:val="005D2EF3"/>
    <w:rsid w:val="005D6A83"/>
    <w:rsid w:val="005E2E5A"/>
    <w:rsid w:val="005F1153"/>
    <w:rsid w:val="005F6076"/>
    <w:rsid w:val="00600837"/>
    <w:rsid w:val="0060465E"/>
    <w:rsid w:val="00606CB2"/>
    <w:rsid w:val="006071F3"/>
    <w:rsid w:val="006107B1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F81"/>
    <w:rsid w:val="006A2E73"/>
    <w:rsid w:val="006B5D52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218A"/>
    <w:rsid w:val="007633C7"/>
    <w:rsid w:val="0076652A"/>
    <w:rsid w:val="00766E64"/>
    <w:rsid w:val="00773F7D"/>
    <w:rsid w:val="00775D3C"/>
    <w:rsid w:val="00777569"/>
    <w:rsid w:val="007863FB"/>
    <w:rsid w:val="00790C0D"/>
    <w:rsid w:val="007B1918"/>
    <w:rsid w:val="007C1E6D"/>
    <w:rsid w:val="007C470D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C4D"/>
    <w:rsid w:val="008337E7"/>
    <w:rsid w:val="008338C8"/>
    <w:rsid w:val="008351CC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4C55"/>
    <w:rsid w:val="008908D6"/>
    <w:rsid w:val="008971C0"/>
    <w:rsid w:val="008A5F20"/>
    <w:rsid w:val="008A7F1C"/>
    <w:rsid w:val="008B3755"/>
    <w:rsid w:val="008B513E"/>
    <w:rsid w:val="008C460E"/>
    <w:rsid w:val="008C4735"/>
    <w:rsid w:val="008C5A82"/>
    <w:rsid w:val="008C5CDF"/>
    <w:rsid w:val="008D0538"/>
    <w:rsid w:val="008E1A87"/>
    <w:rsid w:val="008E1E42"/>
    <w:rsid w:val="008E52DD"/>
    <w:rsid w:val="008E5992"/>
    <w:rsid w:val="008F2C39"/>
    <w:rsid w:val="008F374C"/>
    <w:rsid w:val="00900E4F"/>
    <w:rsid w:val="009020F5"/>
    <w:rsid w:val="0090469D"/>
    <w:rsid w:val="0091247A"/>
    <w:rsid w:val="009139A2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A056D9"/>
    <w:rsid w:val="00A075A0"/>
    <w:rsid w:val="00A10277"/>
    <w:rsid w:val="00A10609"/>
    <w:rsid w:val="00A3186F"/>
    <w:rsid w:val="00A50DC9"/>
    <w:rsid w:val="00A52828"/>
    <w:rsid w:val="00A603F8"/>
    <w:rsid w:val="00A6342E"/>
    <w:rsid w:val="00A63FF8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25B4"/>
    <w:rsid w:val="00B35283"/>
    <w:rsid w:val="00B35608"/>
    <w:rsid w:val="00B462F0"/>
    <w:rsid w:val="00B4723D"/>
    <w:rsid w:val="00B5130D"/>
    <w:rsid w:val="00B52499"/>
    <w:rsid w:val="00B623B4"/>
    <w:rsid w:val="00B70260"/>
    <w:rsid w:val="00B71588"/>
    <w:rsid w:val="00B813F0"/>
    <w:rsid w:val="00B8178E"/>
    <w:rsid w:val="00B85469"/>
    <w:rsid w:val="00B912AD"/>
    <w:rsid w:val="00BB3617"/>
    <w:rsid w:val="00BC5178"/>
    <w:rsid w:val="00BD1F20"/>
    <w:rsid w:val="00BD317A"/>
    <w:rsid w:val="00BE09A3"/>
    <w:rsid w:val="00BE11BD"/>
    <w:rsid w:val="00BE1C36"/>
    <w:rsid w:val="00BE7E1C"/>
    <w:rsid w:val="00BF64F6"/>
    <w:rsid w:val="00C1023E"/>
    <w:rsid w:val="00C14D75"/>
    <w:rsid w:val="00C15FCC"/>
    <w:rsid w:val="00C20EB4"/>
    <w:rsid w:val="00C315FC"/>
    <w:rsid w:val="00C34162"/>
    <w:rsid w:val="00C45C13"/>
    <w:rsid w:val="00C604CE"/>
    <w:rsid w:val="00C6445B"/>
    <w:rsid w:val="00C64C25"/>
    <w:rsid w:val="00C82229"/>
    <w:rsid w:val="00C85069"/>
    <w:rsid w:val="00C85F16"/>
    <w:rsid w:val="00C87186"/>
    <w:rsid w:val="00C9403C"/>
    <w:rsid w:val="00CA0930"/>
    <w:rsid w:val="00CA4265"/>
    <w:rsid w:val="00CB17C3"/>
    <w:rsid w:val="00CB37E2"/>
    <w:rsid w:val="00CC2C08"/>
    <w:rsid w:val="00CC68F3"/>
    <w:rsid w:val="00CC79AC"/>
    <w:rsid w:val="00CD17FA"/>
    <w:rsid w:val="00CD1FA8"/>
    <w:rsid w:val="00CD2B74"/>
    <w:rsid w:val="00CD785F"/>
    <w:rsid w:val="00CE7B82"/>
    <w:rsid w:val="00CF3402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4E14"/>
    <w:rsid w:val="00DD2AB8"/>
    <w:rsid w:val="00DF03EE"/>
    <w:rsid w:val="00DF17D9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65236"/>
    <w:rsid w:val="00E66462"/>
    <w:rsid w:val="00E7102A"/>
    <w:rsid w:val="00E81C5F"/>
    <w:rsid w:val="00E8281E"/>
    <w:rsid w:val="00E83DFB"/>
    <w:rsid w:val="00E86CDD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226E1"/>
    <w:rsid w:val="00F23576"/>
    <w:rsid w:val="00F263B4"/>
    <w:rsid w:val="00F312B8"/>
    <w:rsid w:val="00F31A11"/>
    <w:rsid w:val="00F464FA"/>
    <w:rsid w:val="00F470A4"/>
    <w:rsid w:val="00F51B4E"/>
    <w:rsid w:val="00F6147E"/>
    <w:rsid w:val="00F64279"/>
    <w:rsid w:val="00F6454E"/>
    <w:rsid w:val="00F72389"/>
    <w:rsid w:val="00F76951"/>
    <w:rsid w:val="00F81A25"/>
    <w:rsid w:val="00F871D6"/>
    <w:rsid w:val="00F87373"/>
    <w:rsid w:val="00F900E0"/>
    <w:rsid w:val="00F90164"/>
    <w:rsid w:val="00F9085D"/>
    <w:rsid w:val="00FC2FF7"/>
    <w:rsid w:val="00FC7290"/>
    <w:rsid w:val="00FD0D3C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A29A0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15</Pages>
  <Words>1797</Words>
  <Characters>9580</Characters>
  <Application>Microsoft Office Word</Application>
  <DocSecurity>0</DocSecurity>
  <Lines>870</Lines>
  <Paragraphs>474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Behavior Analysis in E-Commerce</dc:title>
  <dc:subject/>
  <dc:creator>OSAS</dc:creator>
  <cp:keywords/>
  <dc:description/>
  <cp:lastModifiedBy>OSAS</cp:lastModifiedBy>
  <cp:revision>431</cp:revision>
  <dcterms:created xsi:type="dcterms:W3CDTF">2024-10-07T17:07:00Z</dcterms:created>
  <dcterms:modified xsi:type="dcterms:W3CDTF">2025-03-19T18:32:00Z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