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t xml:space="preserve"/>
      </w:r>
    </w:p>
    <w:p>
      <w:pPr>
        <w:spacing w:before="0" w:after="160"/>
        <w:jc w:val="center"/>
      </w:pPr>
      <w:r>
        <w:rPr>
          <w:rFonts w:ascii="Calibri" w:cs="Calibri" w:eastAsia="Calibri" w:hAnsi="Calibri"/>
          <w:b/>
          <w:bCs/>
          <w:color w:val="1A3C5E"/>
          <w:sz w:val="52"/>
          <w:szCs w:val="52"/>
        </w:rPr>
        <w:t xml:space="preserve">US Financial Loan Monitoring System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2D7DD2"/>
          <w:sz w:val="28"/>
          <w:szCs w:val="28"/>
        </w:rPr>
        <w:t xml:space="preserve">Financial Risk Analytics Portfolio Project</w:t>
      </w:r>
    </w:p>
    <w:p>
      <w:pPr>
        <w:spacing w:after="48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Loan Portfolio Risk Dashboard  —  SQL Server  ·  Python  ·  Power BI</w:t>
      </w:r>
    </w:p>
    <w:p>
      <w:pPr>
        <w:pBdr>
          <w:bottom w:val="single" w:color="1A3C5E" w:sz="10" w:space="2"/>
        </w:pBdr>
        <w:spacing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Visualisation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Microsoft SQL Server 2019+
T-SQL  |  SSMS  |  BULK INSERT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scikit-learn  |  Pandas
NumPy  |  Matplotlib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Power BI Desktop
DAX  +  Star Schema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5,000 loans
$710M portfolio</w:t>
            </w:r>
          </w:p>
        </w:tc>
      </w:tr>
    </w:tbl>
    <w:p>
      <w:pPr>
        <w:spacing w:after="400"/>
      </w:pPr>
      <w:r>
        <w:t xml:space="preserve"/>
      </w:r>
    </w:p>
    <w:p>
      <w:pPr>
        <w:shd w:fill="1A3C5E" w:val="clear"/>
        <w:spacing w:before="400" w:after="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1.  Project Overview</w:t>
      </w:r>
    </w:p>
    <w:p>
      <w:pPr>
        <w:shd w:fill="1A3C5E" w:val="clear"/>
        <w:spacing w:before="0" w:after="20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project demonstrates end-to-end financial risk analytics competency — replicating the real-world workflow of a Risk Analyst or BI Developer at a US bank or fintech. The full pipeline runs from synthetic data generation, through T-SQL-based risk aggregation in SQL Server, a Python Probability of Default model, and a four-page Power BI dashboard.</w:t>
      </w:r>
    </w:p>
    <w:p>
      <w:pPr>
        <w:spacing w:after="80"/>
      </w:pPr>
      <w:r>
        <w:t xml:space="preserve"/>
      </w:r>
    </w:p>
    <w:p>
      <w:pPr>
        <w:pBdr>
          <w:bottom w:val="single" w:color="2D7DD2" w:sz="6" w:space="2"/>
        </w:pBdr>
        <w:spacing w:before="260" w:after="10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Business Problem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US financial institutions must continuously monitor their loan portfolios for emerging credit risk. Regulatory bodies — the OCC, FDIC, and Federal Reserve — require banks to track delinquency trends, charge-off rates, and geographic concentration risk. This system replicates that monitoring workflow.</w:t>
      </w:r>
    </w:p>
    <w:p>
      <w:pPr>
        <w:spacing w:after="120"/>
      </w:pPr>
      <w:r>
        <w:t xml:space="preserve"/>
      </w:r>
    </w:p>
    <w:p>
      <w:pPr>
        <w:shd w:fill="1A3C5E" w:val="clear"/>
        <w:spacing w:before="400" w:after="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2.  Technology Stack</w:t>
      </w:r>
    </w:p>
    <w:p>
      <w:pPr>
        <w:shd w:fill="1A3C5E" w:val="clear"/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Microsoft SQL Server 2019+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T-SQL scripts, BULK INSERT data loading, SSMS or sqlcmd. Free Express edition supported.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Data Wrangling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Python 3.9+ — Pandas, NumPy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Synthetic 5,000-loan dataset generation with realistic correlated risk distributions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ML Modeling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Python — scikit-learn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Logistic Regression, Random Forest, Gradient Boosting; best model ROC-AUC 0.82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Visualisation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Power BI Desktop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4-page dashboard, DAX measures, star schema data model, custom dark theme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Git / GitHub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Full project structured for direct upload</w:t>
            </w:r>
          </w:p>
        </w:tc>
      </w:tr>
    </w:tbl>
    <w:p>
      <w:pPr>
        <w:spacing w:after="120"/>
      </w:pPr>
      <w:r>
        <w:t xml:space="preserve"/>
      </w:r>
    </w:p>
    <w:p>
      <w:pPr>
        <w:shd w:fill="1A3C5E" w:val="clear"/>
        <w:spacing w:before="400" w:after="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3.  SQL Server Scripts</w:t>
      </w:r>
    </w:p>
    <w:p>
      <w:pPr>
        <w:shd w:fill="1A3C5E" w:val="clear"/>
        <w:spacing w:before="0" w:after="20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All four scripts are written in pure T-SQL for Microsoft SQL Server 2019+. They use SSMS-native syntax throughout — GO batch separators, TOP N row limiting, BULK INSERT for data loading, GETDATE() for date functions, and OBJECT_ID() for safe object dropping.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T-SQL Features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01_create_schema.sql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Creates the loan_risk_db database, 3 tables with constraints, and 7 performance indexes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IF NOT EXISTS database creation, OBJECT_ID() safe drop, GO batch separators, INFORMATION_SCHEMA verify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02_dashboard_queries.sql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All KPI queries powering the four Power BI dashboard pages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SELECT TOP N, window functions SUM() OVER(), CTEs, CROSS JOIN for national benchmark, CASE expressions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03_data_ingestion.sql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Loads the Python-generated CSV files into SQL Server and populates the monthly trend table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BULK INSERT with FORMAT=CSV, GETDATE() for date stamping, CAST() for type-safe aggregation, row count verify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04_risk_segmentation.sql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Borrower segment matrix, credit score bands, DTI cross-tab, top-200 watchlist, vintage cohort analysis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SELECT TOP 200, COALESCE() for null PD scores, NULLIF() for safe division, CAST() throughout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D7DD2" w:sz="6" w:space="2"/>
        </w:pBdr>
        <w:spacing w:before="260" w:after="10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T-SQL Techniques Demonstrated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SELECT TOP N</w:t>
      </w:r>
      <w:r>
        <w:rPr>
          <w:rFonts w:ascii="Calibri" w:cs="Calibri" w:eastAsia="Calibri" w:hAnsi="Calibri"/>
          <w:sz w:val="22"/>
          <w:szCs w:val="22"/>
        </w:rPr>
        <w:t xml:space="preserve"> native SQL Server row limiting used in place of LIMIT — appears in KPI 2.3, 3.3, and watchlist query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Window functions</w:t>
      </w:r>
      <w:r>
        <w:rPr>
          <w:rFonts w:ascii="Calibri" w:cs="Calibri" w:eastAsia="Calibri" w:hAnsi="Calibri"/>
          <w:sz w:val="22"/>
          <w:szCs w:val="22"/>
        </w:rPr>
        <w:t xml:space="preserve"> SUM() OVER(), COUNT() OVER() for portfolio share calculations and roll-rate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Common Table Expressions</w:t>
      </w:r>
      <w:r>
        <w:rPr>
          <w:rFonts w:ascii="Calibri" w:cs="Calibri" w:eastAsia="Calibri" w:hAnsi="Calibri"/>
          <w:sz w:val="22"/>
          <w:szCs w:val="22"/>
        </w:rPr>
        <w:t xml:space="preserve"> national_avg and state_risk CTEs in the geographic concentration query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BULK INSERT</w:t>
      </w:r>
      <w:r>
        <w:rPr>
          <w:rFonts w:ascii="Calibri" w:cs="Calibri" w:eastAsia="Calibri" w:hAnsi="Calibri"/>
          <w:sz w:val="22"/>
          <w:szCs w:val="22"/>
        </w:rPr>
        <w:t xml:space="preserve"> SQL Server-native CSV loading with FORMAT=CSV, FIRSTROW=2, field and row terminators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OBJECT_ID() safe drop</w:t>
      </w:r>
      <w:r>
        <w:rPr>
          <w:rFonts w:ascii="Calibri" w:cs="Calibri" w:eastAsia="Calibri" w:hAnsi="Calibri"/>
          <w:sz w:val="22"/>
          <w:szCs w:val="22"/>
        </w:rPr>
        <w:t xml:space="preserve"> IF OBJECT_ID('table','U') IS NOT NULL DROP TABLE — prevents errors on clean re-runs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GO batch separators</w:t>
      </w:r>
      <w:r>
        <w:rPr>
          <w:rFonts w:ascii="Calibri" w:cs="Calibri" w:eastAsia="Calibri" w:hAnsi="Calibri"/>
          <w:sz w:val="22"/>
          <w:szCs w:val="22"/>
        </w:rPr>
        <w:t xml:space="preserve"> SSMS-native batch delimiter used throughout for correct execution sequencing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GETDATE()</w:t>
      </w:r>
      <w:r>
        <w:rPr>
          <w:rFonts w:ascii="Calibri" w:cs="Calibri" w:eastAsia="Calibri" w:hAnsi="Calibri"/>
          <w:sz w:val="22"/>
          <w:szCs w:val="22"/>
        </w:rPr>
        <w:t xml:space="preserve"> SQL Server date function for stamping model score 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CAST() for aggregation</w:t>
      </w:r>
      <w:r>
        <w:rPr>
          <w:rFonts w:ascii="Calibri" w:cs="Calibri" w:eastAsia="Calibri" w:hAnsi="Calibri"/>
          <w:sz w:val="22"/>
          <w:szCs w:val="22"/>
        </w:rPr>
        <w:t xml:space="preserve"> all numeric type promotions use explicit CAST(x AS DECIMAL) — no implicit conversions</w:t>
      </w:r>
    </w:p>
    <w:p>
      <w:pPr>
        <w:spacing w:after="120"/>
      </w:pPr>
      <w:r>
        <w:t xml:space="preserve"/>
      </w:r>
    </w:p>
    <w:p>
      <w:pPr>
        <w:shd w:fill="1A3C5E" w:val="clear"/>
        <w:spacing w:before="400" w:after="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4.  Python Scripts</w:t>
      </w:r>
    </w:p>
    <w:p>
      <w:pPr>
        <w:shd w:fill="1A3C5E" w:val="clear"/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01_data_generation.py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Generates 5,000 synthetic loans with correlated FICO, DTI, delinquency, and income distributions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data/processed/loan_portfolio.csv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02_eda_analysis.py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9-panel portfolio overview chart: balance by type, origination trends, state risk, PD scatter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outputs/portfolio_overview.png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03_default_prediction.py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Trains 3 models; selects best by ROC-AUC; exports PD scores and feature importance chart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loan_portfolio_scored.csv
model_performance.png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D7DD2" w:sz="6" w:space="2"/>
        </w:pBdr>
        <w:spacing w:before="260" w:after="10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Model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760"/>
        <w:gridCol w:w="3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ROC-AUC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Selected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0.8195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Yes — best AUC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Coefficients map directly to credit scorecard weights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0.8035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Ensemble; feature importance chart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Gradient Boosting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0.7655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GBM baseline</w:t>
            </w:r>
          </w:p>
        </w:tc>
      </w:tr>
    </w:tbl>
    <w:p>
      <w:pPr>
        <w:spacing w:after="120"/>
      </w:pPr>
      <w:r>
        <w:t xml:space="preserve"/>
      </w:r>
    </w:p>
    <w:p>
      <w:pPr>
        <w:shd w:fill="1A3C5E" w:val="clear"/>
        <w:spacing w:before="400" w:after="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5.  Power BI Dashboard</w:t>
      </w:r>
    </w:p>
    <w:p>
      <w:pPr>
        <w:shd w:fill="1A3C5E" w:val="clear"/>
        <w:spacing w:before="0" w:after="200"/>
      </w:pPr>
      <w:r>
        <w:t xml:space="preserve"/>
      </w:r>
    </w:p>
    <w:p>
      <w:pPr>
        <w:pBdr>
          <w:bottom w:val="single" w:color="2D7DD2" w:sz="6" w:space="2"/>
        </w:pBdr>
        <w:spacing w:before="260" w:after="10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Page 1 — Executive Portfolio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KPI cards:</w:t>
      </w:r>
      <w:r>
        <w:rPr>
          <w:rFonts w:ascii="Calibri" w:cs="Calibri" w:eastAsia="Calibri" w:hAnsi="Calibri"/>
          <w:sz w:val="22"/>
          <w:szCs w:val="22"/>
        </w:rPr>
        <w:t xml:space="preserve"> Total Loans, Portfolio Balance, Delinquency Rate 30+, NPL Rate 90+, Charge-Off Rate, Avg FICO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Loan Mix by Type:</w:t>
      </w:r>
      <w:r>
        <w:rPr>
          <w:rFonts w:ascii="Calibri" w:cs="Calibri" w:eastAsia="Calibri" w:hAnsi="Calibri"/>
          <w:sz w:val="22"/>
          <w:szCs w:val="22"/>
        </w:rPr>
        <w:t xml:space="preserve"> donut chart across Mortgage, Auto, Personal, Student, Small Business, Credit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Origination Trend:</w:t>
      </w:r>
      <w:r>
        <w:rPr>
          <w:rFonts w:ascii="Calibri" w:cs="Calibri" w:eastAsia="Calibri" w:hAnsi="Calibri"/>
          <w:sz w:val="22"/>
          <w:szCs w:val="22"/>
        </w:rPr>
        <w:t xml:space="preserve"> stacked bar by loan type showing volume growth by 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Credit Score Histogram:</w:t>
      </w:r>
      <w:r>
        <w:rPr>
          <w:rFonts w:ascii="Calibri" w:cs="Calibri" w:eastAsia="Calibri" w:hAnsi="Calibri"/>
          <w:sz w:val="22"/>
          <w:szCs w:val="22"/>
        </w:rPr>
        <w:t xml:space="preserve"> FICO band distribution across the full portfolio</w:t>
      </w:r>
    </w:p>
    <w:p>
      <w:pPr>
        <w:spacing w:after="60"/>
      </w:pPr>
      <w:r>
        <w:t xml:space="preserve"/>
      </w:r>
    </w:p>
    <w:p>
      <w:pPr>
        <w:pBdr>
          <w:bottom w:val="single" w:color="2D7DD2" w:sz="6" w:space="2"/>
        </w:pBdr>
        <w:spacing w:before="260" w:after="10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Page 2 — Risk Indicators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Early Delinquency Trend:</w:t>
      </w:r>
      <w:r>
        <w:rPr>
          <w:rFonts w:ascii="Calibri" w:cs="Calibri" w:eastAsia="Calibri" w:hAnsi="Calibri"/>
          <w:sz w:val="22"/>
          <w:szCs w:val="22"/>
        </w:rPr>
        <w:t xml:space="preserve"> 30-59 DPD rate by origination year — leading portfolio stress indicator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Borrower Segment Matrix:</w:t>
      </w:r>
      <w:r>
        <w:rPr>
          <w:rFonts w:ascii="Calibri" w:cs="Calibri" w:eastAsia="Calibri" w:hAnsi="Calibri"/>
          <w:sz w:val="22"/>
          <w:szCs w:val="22"/>
        </w:rPr>
        <w:t xml:space="preserve"> delinquency and default rates across Deep Subprime → Prime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DTI vs Default Rate:</w:t>
      </w:r>
      <w:r>
        <w:rPr>
          <w:rFonts w:ascii="Calibri" w:cs="Calibri" w:eastAsia="Calibri" w:hAnsi="Calibri"/>
          <w:sz w:val="22"/>
          <w:szCs w:val="22"/>
        </w:rPr>
        <w:t xml:space="preserve"> bar chart showing non-linear default increase above 43% DTI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Delinquency Waterfall:</w:t>
      </w:r>
      <w:r>
        <w:rPr>
          <w:rFonts w:ascii="Calibri" w:cs="Calibri" w:eastAsia="Calibri" w:hAnsi="Calibri"/>
          <w:sz w:val="22"/>
          <w:szCs w:val="22"/>
        </w:rPr>
        <w:t xml:space="preserve"> loan counts across Current → 30-59 DPD → 60-89 → 90+ → Default → Charged-Off</w:t>
      </w:r>
    </w:p>
    <w:p>
      <w:pPr>
        <w:spacing w:after="60"/>
      </w:pPr>
      <w:r>
        <w:t xml:space="preserve"/>
      </w:r>
    </w:p>
    <w:p>
      <w:pPr>
        <w:pBdr>
          <w:bottom w:val="single" w:color="2D7DD2" w:sz="6" w:space="2"/>
        </w:pBdr>
        <w:spacing w:before="260" w:after="10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Page 3 — Geographic Risk Concentration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US Choropleth Map:</w:t>
      </w:r>
      <w:r>
        <w:rPr>
          <w:rFonts w:ascii="Calibri" w:cs="Calibri" w:eastAsia="Calibri" w:hAnsi="Calibri"/>
          <w:sz w:val="22"/>
          <w:szCs w:val="22"/>
        </w:rPr>
        <w:t xml:space="preserve"> state-level delinquency rate heat 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Risk Flag Table:</w:t>
      </w:r>
      <w:r>
        <w:rPr>
          <w:rFonts w:ascii="Calibri" w:cs="Calibri" w:eastAsia="Calibri" w:hAnsi="Calibri"/>
          <w:sz w:val="22"/>
          <w:szCs w:val="22"/>
        </w:rPr>
        <w:t xml:space="preserve"> states ranked by risk_multiplier vs national average — CRITICAL / HIGH / ELEVATED / NORMAL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Top 15 States Chart:</w:t>
      </w:r>
      <w:r>
        <w:rPr>
          <w:rFonts w:ascii="Calibri" w:cs="Calibri" w:eastAsia="Calibri" w:hAnsi="Calibri"/>
          <w:sz w:val="22"/>
          <w:szCs w:val="22"/>
        </w:rPr>
        <w:t xml:space="preserve"> balance and delinquency rate side by side</w:t>
      </w:r>
    </w:p>
    <w:p>
      <w:pPr>
        <w:spacing w:after="60"/>
      </w:pPr>
      <w:r>
        <w:t xml:space="preserve"/>
      </w:r>
    </w:p>
    <w:p>
      <w:pPr>
        <w:pBdr>
          <w:bottom w:val="single" w:color="2D7DD2" w:sz="6" w:space="2"/>
        </w:pBdr>
        <w:spacing w:before="260" w:after="10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Page 4 — Predictive Risk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PD Score Histogram:</w:t>
      </w:r>
      <w:r>
        <w:rPr>
          <w:rFonts w:ascii="Calibri" w:cs="Calibri" w:eastAsia="Calibri" w:hAnsi="Calibri"/>
          <w:sz w:val="22"/>
          <w:szCs w:val="22"/>
        </w:rPr>
        <w:t xml:space="preserve"> model_pd distribution across Low / Medium / High / Critical bands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Feature Importance:</w:t>
      </w:r>
      <w:r>
        <w:rPr>
          <w:rFonts w:ascii="Calibri" w:cs="Calibri" w:eastAsia="Calibri" w:hAnsi="Calibri"/>
          <w:sz w:val="22"/>
          <w:szCs w:val="22"/>
        </w:rPr>
        <w:t xml:space="preserve"> horizontal bar chart from trained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High-Risk Watchlist:</w:t>
      </w:r>
      <w:r>
        <w:rPr>
          <w:rFonts w:ascii="Calibri" w:cs="Calibri" w:eastAsia="Calibri" w:hAnsi="Calibri"/>
          <w:sz w:val="22"/>
          <w:szCs w:val="22"/>
        </w:rPr>
        <w:t xml:space="preserve"> filterable table of top 200 loans by PD score with expected loss column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Expected Credit Loss:</w:t>
      </w:r>
      <w:r>
        <w:rPr>
          <w:rFonts w:ascii="Calibri" w:cs="Calibri" w:eastAsia="Calibri" w:hAnsi="Calibri"/>
          <w:sz w:val="22"/>
          <w:szCs w:val="22"/>
        </w:rPr>
        <w:t xml:space="preserve"> PD × 45% LGD × loan balance — shown as portfolio-level KPI card</w:t>
      </w:r>
    </w:p>
    <w:p>
      <w:pPr>
        <w:spacing w:after="120"/>
      </w:pPr>
      <w:r>
        <w:t xml:space="preserve"/>
      </w:r>
    </w:p>
    <w:p>
      <w:pPr>
        <w:shd w:fill="1A3C5E" w:val="clear"/>
        <w:spacing w:before="400" w:after="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6.  SQL Server Setup — Quick Reference</w:t>
      </w:r>
    </w:p>
    <w:p>
      <w:pPr>
        <w:shd w:fill="1A3C5E" w:val="clear"/>
        <w:spacing w:before="0" w:after="20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Full step-by-step instructions including installation, SSMS screenshots, troubleshooting, and Power BI connection are in docs/setup_guide.md. The condensed sequence is shown below.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D7DD2"/>
          <w:sz w:val="22"/>
          <w:szCs w:val="22"/>
        </w:rPr>
        <w:t xml:space="preserve">Step 1  —  Run schema script in SSMS</w:t>
      </w:r>
    </w:p>
    <w:p>
      <w:pPr>
        <w:pBdr>
          <w:left w:val="single" w:color="2D7DD2" w:sz="12" w:space="4"/>
        </w:pBdr>
        <w:shd w:fill="F3F4F6" w:val="clear"/>
        <w:spacing w:before="80" w:after="0"/>
        <w:ind w:left="360"/>
      </w:pPr>
      <w:r>
        <w:rPr>
          <w:rFonts w:ascii="Courier New" w:cs="Courier New" w:eastAsia="Courier New" w:hAnsi="Courier New"/>
          <w:i/>
          <w:iCs/>
          <w:color w:val="888888"/>
          <w:sz w:val="19"/>
          <w:szCs w:val="19"/>
        </w:rPr>
        <w:t xml:space="preserve">-- In SSMS: File → Open → sql/01_create_schema.sql → Execute (F5)</w:t>
      </w:r>
    </w:p>
    <w:p>
      <w:pPr>
        <w:pBdr>
          <w:left w:val="single" w:color="2D7DD2" w:sz="12" w:space="4"/>
        </w:pBdr>
        <w:shd w:fill="F3F4F6" w:val="clear"/>
        <w:spacing w:before="0" w:after="80"/>
        <w:ind w:left="360"/>
      </w:pPr>
      <w:r>
        <w:rPr>
          <w:rFonts w:ascii="Courier New" w:cs="Courier New" w:eastAsia="Courier New" w:hAnsi="Courier New"/>
          <w:i/>
          <w:iCs/>
          <w:color w:val="888888"/>
          <w:sz w:val="19"/>
          <w:szCs w:val="19"/>
        </w:rPr>
        <w:t xml:space="preserve">-- Creates loan_risk_db database, 3 tables, 7 indexes</w:t>
      </w:r>
    </w:p>
    <w:p>
      <w:pPr>
        <w:spacing w:after="6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D7DD2"/>
          <w:sz w:val="22"/>
          <w:szCs w:val="22"/>
        </w:rPr>
        <w:t xml:space="preserve">Step 2  —  Update file paths in ingestion script</w:t>
      </w:r>
    </w:p>
    <w:p>
      <w:pPr>
        <w:pBdr>
          <w:left w:val="single" w:color="2D7DD2" w:sz="12" w:space="4"/>
        </w:pBdr>
        <w:shd w:fill="F3F4F6" w:val="clear"/>
        <w:spacing w:before="80" w:after="0"/>
        <w:ind w:left="360"/>
      </w:pPr>
      <w:r>
        <w:rPr>
          <w:rFonts w:ascii="Courier New" w:cs="Courier New" w:eastAsia="Courier New" w:hAnsi="Courier New"/>
          <w:i/>
          <w:iCs/>
          <w:color w:val="888888"/>
          <w:sz w:val="19"/>
          <w:szCs w:val="19"/>
        </w:rPr>
        <w:t xml:space="preserve">-- Open sql/03_data_ingestion.sql in any text editor</w:t>
      </w:r>
    </w:p>
    <w:p>
      <w:pPr>
        <w:pBdr>
          <w:left w:val="single" w:color="2D7DD2" w:sz="12" w:space="4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i/>
          <w:iCs/>
          <w:color w:val="888888"/>
          <w:sz w:val="19"/>
          <w:szCs w:val="19"/>
        </w:rPr>
        <w:t xml:space="preserve">-- Replace the two placeholder paths with your actual Windows paths:</w:t>
      </w:r>
    </w:p>
    <w:p>
      <w:pPr>
        <w:pBdr>
          <w:left w:val="single" w:color="2D7DD2" w:sz="12" w:space="4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i/>
          <w:iCs/>
          <w:color w:val="888888"/>
          <w:sz w:val="19"/>
          <w:szCs w:val="19"/>
        </w:rPr>
        <w:t xml:space="preserve">--   C:\Projects\us-financial-loan-monitoring\data\processed\loan_portfolio.csv</w:t>
      </w:r>
    </w:p>
    <w:p>
      <w:pPr>
        <w:pBdr>
          <w:left w:val="single" w:color="2D7DD2" w:sz="12" w:space="4"/>
        </w:pBdr>
        <w:shd w:fill="F3F4F6" w:val="clear"/>
        <w:spacing w:before="0" w:after="80"/>
        <w:ind w:left="360"/>
      </w:pPr>
      <w:r>
        <w:rPr>
          <w:rFonts w:ascii="Courier New" w:cs="Courier New" w:eastAsia="Courier New" w:hAnsi="Courier New"/>
          <w:i/>
          <w:iCs/>
          <w:color w:val="888888"/>
          <w:sz w:val="19"/>
          <w:szCs w:val="19"/>
        </w:rPr>
        <w:t xml:space="preserve">--   C:\Projects\us-financial-loan-monitoring\data\processed\loan_portfolio_scored.csv</w:t>
      </w:r>
    </w:p>
    <w:p>
      <w:pPr>
        <w:spacing w:after="6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D7DD2"/>
          <w:sz w:val="22"/>
          <w:szCs w:val="22"/>
        </w:rPr>
        <w:t xml:space="preserve">Step 3  —  Run ingestion script in SSMS</w:t>
      </w:r>
    </w:p>
    <w:p>
      <w:pPr>
        <w:pBdr>
          <w:left w:val="single" w:color="2D7DD2" w:sz="12" w:space="4"/>
        </w:pBdr>
        <w:shd w:fill="F3F4F6" w:val="clear"/>
        <w:spacing w:before="80" w:after="0"/>
        <w:ind w:left="360"/>
      </w:pPr>
      <w:r>
        <w:rPr>
          <w:rFonts w:ascii="Courier New" w:cs="Courier New" w:eastAsia="Courier New" w:hAnsi="Courier New"/>
          <w:i/>
          <w:iCs/>
          <w:color w:val="888888"/>
          <w:sz w:val="19"/>
          <w:szCs w:val="19"/>
        </w:rPr>
        <w:t xml:space="preserve">-- File → Open → sql/03_data_ingestion.sql → Execute (F5)</w:t>
      </w:r>
    </w:p>
    <w:p>
      <w:pPr>
        <w:pBdr>
          <w:left w:val="single" w:color="2D7DD2" w:sz="12" w:space="4"/>
        </w:pBdr>
        <w:shd w:fill="F3F4F6" w:val="clear"/>
        <w:spacing w:before="0" w:after="80"/>
        <w:ind w:left="360"/>
      </w:pPr>
      <w:r>
        <w:rPr>
          <w:rFonts w:ascii="Courier New" w:cs="Courier New" w:eastAsia="Courier New" w:hAnsi="Courier New"/>
          <w:i/>
          <w:iCs/>
          <w:color w:val="888888"/>
          <w:sz w:val="19"/>
          <w:szCs w:val="19"/>
        </w:rPr>
        <w:t xml:space="preserve">-- Loads 5,000 loans, 5,000 PD scores, populates 24 trend snapshots</w:t>
      </w:r>
    </w:p>
    <w:p>
      <w:pPr>
        <w:spacing w:after="6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D7DD2"/>
          <w:sz w:val="22"/>
          <w:szCs w:val="22"/>
        </w:rPr>
        <w:t xml:space="preserve">Step 4  —  Connect Power BI</w:t>
      </w:r>
    </w:p>
    <w:p>
      <w:pPr>
        <w:pBdr>
          <w:left w:val="single" w:color="2D7DD2" w:sz="12" w:space="4"/>
        </w:pBdr>
        <w:shd w:fill="F3F4F6" w:val="clear"/>
        <w:spacing w:before="80" w:after="0"/>
        <w:ind w:left="360"/>
      </w:pPr>
      <w:r>
        <w:rPr>
          <w:rFonts w:ascii="Courier New" w:cs="Courier New" w:eastAsia="Courier New" w:hAnsi="Courier New"/>
          <w:i/>
          <w:iCs/>
          <w:color w:val="888888"/>
          <w:sz w:val="19"/>
          <w:szCs w:val="19"/>
        </w:rPr>
        <w:t xml:space="preserve">-- Home → Get Data → SQL Server</w:t>
      </w:r>
    </w:p>
    <w:p>
      <w:pPr>
        <w:pBdr>
          <w:left w:val="single" w:color="2D7DD2" w:sz="12" w:space="4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i/>
          <w:iCs/>
          <w:color w:val="888888"/>
          <w:sz w:val="19"/>
          <w:szCs w:val="19"/>
        </w:rPr>
        <w:t xml:space="preserve">-- Server:   localhost  (or localhost\SQLEXPRESS for Express edition)</w:t>
      </w:r>
    </w:p>
    <w:p>
      <w:pPr>
        <w:pBdr>
          <w:left w:val="single" w:color="2D7DD2" w:sz="12" w:space="4"/>
        </w:pBdr>
        <w:shd w:fill="F3F4F6" w:val="clear"/>
        <w:spacing w:before="0" w:after="80"/>
        <w:ind w:left="360"/>
      </w:pPr>
      <w:r>
        <w:rPr>
          <w:rFonts w:ascii="Courier New" w:cs="Courier New" w:eastAsia="Courier New" w:hAnsi="Courier New"/>
          <w:i/>
          <w:iCs/>
          <w:color w:val="888888"/>
          <w:sz w:val="19"/>
          <w:szCs w:val="19"/>
        </w:rPr>
        <w:t xml:space="preserve">-- Database: loan_risk_db</w:t>
      </w:r>
    </w:p>
    <w:p>
      <w:pPr>
        <w:spacing w:after="80"/>
      </w:pPr>
      <w:r>
        <w:t xml:space="preserve"/>
      </w:r>
    </w:p>
    <w:p>
      <w:pPr>
        <w:pBdr>
          <w:left w:val="single" w:color="2D7DD2" w:sz="14" w:space="0"/>
        </w:pBdr>
        <w:shd w:fill="EDF2F8" w:val="clear"/>
        <w:spacing w:before="80" w:after="80"/>
        <w:ind w:left="12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ℹ NOTE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 The free SQL Server Express edition fully supports this project. Download at: microsoft.com/en-us/sql-server/sql-server-downloads — choose Express.</w:t>
      </w:r>
    </w:p>
    <w:p>
      <w:pPr>
        <w:spacing w:after="120"/>
      </w:pPr>
      <w:r>
        <w:t xml:space="preserve"/>
      </w:r>
    </w:p>
    <w:p>
      <w:pPr>
        <w:shd w:fill="1A3C5E" w:val="clear"/>
        <w:spacing w:before="400" w:after="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7.  Risk Metrics Glossary</w:t>
      </w:r>
    </w:p>
    <w:p>
      <w:pPr>
        <w:shd w:fill="1A3C5E" w:val="clear"/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Regulatory 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Delinquency Rate 30+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% of loans with 30+ days past due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FFIEC quarterly reporting 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NPL 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Non-Performing Loans — 90+ DPD; triggers non-accrual under US GAAP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OCC and FDIC examination metric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Charge-Off 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Loans written off / average portfolio balance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FFIEC Call Report Schedule RI-B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Probability of Default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ML model score 0–1 estimating 12-month default likelihood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Basel III IRB approach input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Expected Credit Loss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PD × 45% LGD × loan balance — forward-looking loss estimate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IFRS 9 / CECL (ASC 326)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DTI Ratio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Monthly debt / gross income; CFPB QM cap at 43%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CFPB Qualified Mortgage Rule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Geographic Concentration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State portfolio share; &gt;15% elevated; &gt;25% critical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OCC Large Bank Supervision Handbook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Vintage Analysis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Default rates tracked by origination cohort over loan 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Standard credit portfolio management</w:t>
            </w:r>
          </w:p>
        </w:tc>
      </w:tr>
    </w:tbl>
    <w:p>
      <w:pPr>
        <w:spacing w:after="120"/>
      </w:pPr>
      <w:r>
        <w:t xml:space="preserve"/>
      </w:r>
    </w:p>
    <w:p>
      <w:pPr>
        <w:shd w:fill="1A3C5E" w:val="clear"/>
        <w:spacing w:before="400" w:after="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8.  Project File Structure</w:t>
      </w:r>
    </w:p>
    <w:p>
      <w:pPr>
        <w:shd w:fill="1A3C5E" w:val="clear"/>
        <w:spacing w:before="0" w:after="200"/>
      </w:pPr>
      <w:r>
        <w:t xml:space="preserve"/>
      </w:r>
    </w:p>
    <w:p>
      <w:pPr>
        <w:pBdr>
          <w:left w:val="single" w:color="2D7DD2" w:sz="12" w:space="4"/>
        </w:pBdr>
        <w:shd w:fill="F3F4F6" w:val="clear"/>
        <w:spacing w:before="80" w:after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9"/>
          <w:szCs w:val="19"/>
        </w:rPr>
        <w:t xml:space="preserve">us-financial-loan-monitoring/</w:t>
      </w:r>
    </w:p>
    <w:p>
      <w:pPr>
        <w:pBdr>
          <w:left w:val="single" w:color="2D7DD2" w:sz="12" w:space="4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9"/>
          <w:szCs w:val="19"/>
        </w:rPr>
        <w:t xml:space="preserve">├── README.md                        ← GitHub landing page</w:t>
      </w:r>
    </w:p>
    <w:p>
      <w:pPr>
        <w:pBdr>
          <w:left w:val="single" w:color="2D7DD2" w:sz="12" w:space="4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9"/>
          <w:szCs w:val="19"/>
        </w:rPr>
        <w:t xml:space="preserve">├── sql/</w:t>
      </w:r>
    </w:p>
    <w:p>
      <w:pPr>
        <w:pBdr>
          <w:left w:val="single" w:color="2D7DD2" w:sz="12" w:space="4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9"/>
          <w:szCs w:val="19"/>
        </w:rPr>
        <w:t xml:space="preserve">│   ├── 01_create_schema.sql         ← T-SQL: database + tables + indexes</w:t>
      </w:r>
    </w:p>
    <w:p>
      <w:pPr>
        <w:pBdr>
          <w:left w:val="single" w:color="2D7DD2" w:sz="12" w:space="4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9"/>
          <w:szCs w:val="19"/>
        </w:rPr>
        <w:t xml:space="preserve">│   ├── 02_dashboard_queries.sql     ← T-SQL: all KPI queries (SELECT TOP, CTEs)</w:t>
      </w:r>
    </w:p>
    <w:p>
      <w:pPr>
        <w:pBdr>
          <w:left w:val="single" w:color="2D7DD2" w:sz="12" w:space="4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9"/>
          <w:szCs w:val="19"/>
        </w:rPr>
        <w:t xml:space="preserve">│   ├── 03_data_ingestion.sql        ← T-SQL: BULK INSERT + GETDATE() + verify</w:t>
      </w:r>
    </w:p>
    <w:p>
      <w:pPr>
        <w:pBdr>
          <w:left w:val="single" w:color="2D7DD2" w:sz="12" w:space="4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9"/>
          <w:szCs w:val="19"/>
        </w:rPr>
        <w:t xml:space="preserve">│   └── 04_risk_segmentation.sql     ← T-SQL: segments, watchlist, vintage</w:t>
      </w:r>
    </w:p>
    <w:p>
      <w:pPr>
        <w:pBdr>
          <w:left w:val="single" w:color="2D7DD2" w:sz="12" w:space="4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9"/>
          <w:szCs w:val="19"/>
        </w:rPr>
        <w:t xml:space="preserve">├── python/</w:t>
      </w:r>
    </w:p>
    <w:p>
      <w:pPr>
        <w:pBdr>
          <w:left w:val="single" w:color="2D7DD2" w:sz="12" w:space="4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9"/>
          <w:szCs w:val="19"/>
        </w:rPr>
        <w:t xml:space="preserve">│   ├── 01_data_generation.py</w:t>
      </w:r>
    </w:p>
    <w:p>
      <w:pPr>
        <w:pBdr>
          <w:left w:val="single" w:color="2D7DD2" w:sz="12" w:space="4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9"/>
          <w:szCs w:val="19"/>
        </w:rPr>
        <w:t xml:space="preserve">│   ├── 02_eda_analysis.py</w:t>
      </w:r>
    </w:p>
    <w:p>
      <w:pPr>
        <w:pBdr>
          <w:left w:val="single" w:color="2D7DD2" w:sz="12" w:space="4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9"/>
          <w:szCs w:val="19"/>
        </w:rPr>
        <w:t xml:space="preserve">│   ├── 03_default_prediction.py</w:t>
      </w:r>
    </w:p>
    <w:p>
      <w:pPr>
        <w:pBdr>
          <w:left w:val="single" w:color="2D7DD2" w:sz="12" w:space="4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9"/>
          <w:szCs w:val="19"/>
        </w:rPr>
        <w:t xml:space="preserve">│   └── requirements.txt</w:t>
      </w:r>
    </w:p>
    <w:p>
      <w:pPr>
        <w:pBdr>
          <w:left w:val="single" w:color="2D7DD2" w:sz="12" w:space="4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9"/>
          <w:szCs w:val="19"/>
        </w:rPr>
        <w:t xml:space="preserve">├── powerbi/</w:t>
      </w:r>
    </w:p>
    <w:p>
      <w:pPr>
        <w:pBdr>
          <w:left w:val="single" w:color="2D7DD2" w:sz="12" w:space="4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9"/>
          <w:szCs w:val="19"/>
        </w:rPr>
        <w:t xml:space="preserve">│   ├── POWERBI_SETUP.md</w:t>
      </w:r>
    </w:p>
    <w:p>
      <w:pPr>
        <w:pBdr>
          <w:left w:val="single" w:color="2D7DD2" w:sz="12" w:space="4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9"/>
          <w:szCs w:val="19"/>
        </w:rPr>
        <w:t xml:space="preserve">│   ├── DAX_measures.md</w:t>
      </w:r>
    </w:p>
    <w:p>
      <w:pPr>
        <w:pBdr>
          <w:left w:val="single" w:color="2D7DD2" w:sz="12" w:space="4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9"/>
          <w:szCs w:val="19"/>
        </w:rPr>
        <w:t xml:space="preserve">│   └── LoanRisk_theme.json</w:t>
      </w:r>
    </w:p>
    <w:p>
      <w:pPr>
        <w:pBdr>
          <w:left w:val="single" w:color="2D7DD2" w:sz="12" w:space="4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9"/>
          <w:szCs w:val="19"/>
        </w:rPr>
        <w:t xml:space="preserve">├── data/processed/</w:t>
      </w:r>
    </w:p>
    <w:p>
      <w:pPr>
        <w:pBdr>
          <w:left w:val="single" w:color="2D7DD2" w:sz="12" w:space="4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9"/>
          <w:szCs w:val="19"/>
        </w:rPr>
        <w:t xml:space="preserve">│   ├── loan_portfolio.csv</w:t>
      </w:r>
    </w:p>
    <w:p>
      <w:pPr>
        <w:pBdr>
          <w:left w:val="single" w:color="2D7DD2" w:sz="12" w:space="4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9"/>
          <w:szCs w:val="19"/>
        </w:rPr>
        <w:t xml:space="preserve">│   └── loan_portfolio_scored.csv</w:t>
      </w:r>
    </w:p>
    <w:p>
      <w:pPr>
        <w:pBdr>
          <w:left w:val="single" w:color="2D7DD2" w:sz="12" w:space="4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9"/>
          <w:szCs w:val="19"/>
        </w:rPr>
        <w:t xml:space="preserve">├── outputs/</w:t>
      </w:r>
    </w:p>
    <w:p>
      <w:pPr>
        <w:pBdr>
          <w:left w:val="single" w:color="2D7DD2" w:sz="12" w:space="4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9"/>
          <w:szCs w:val="19"/>
        </w:rPr>
        <w:t xml:space="preserve">│   ├── eda_charts.png</w:t>
      </w:r>
    </w:p>
    <w:p>
      <w:pPr>
        <w:pBdr>
          <w:left w:val="single" w:color="2D7DD2" w:sz="12" w:space="4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9"/>
          <w:szCs w:val="19"/>
        </w:rPr>
        <w:t xml:space="preserve">│   ├── portfolio_overview.png</w:t>
      </w:r>
    </w:p>
    <w:p>
      <w:pPr>
        <w:pBdr>
          <w:left w:val="single" w:color="2D7DD2" w:sz="12" w:space="4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9"/>
          <w:szCs w:val="19"/>
        </w:rPr>
        <w:t xml:space="preserve">│   └── model_performance.png</w:t>
      </w:r>
    </w:p>
    <w:p>
      <w:pPr>
        <w:pBdr>
          <w:left w:val="single" w:color="2D7DD2" w:sz="12" w:space="4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9"/>
          <w:szCs w:val="19"/>
        </w:rPr>
        <w:t xml:space="preserve">└── docs/</w:t>
      </w:r>
    </w:p>
    <w:p>
      <w:pPr>
        <w:pBdr>
          <w:left w:val="single" w:color="2D7DD2" w:sz="12" w:space="4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9"/>
          <w:szCs w:val="19"/>
        </w:rPr>
        <w:t xml:space="preserve">    ├── setup_guide.md               ← SQL Server installation + setup</w:t>
      </w:r>
    </w:p>
    <w:p>
      <w:pPr>
        <w:pBdr>
          <w:left w:val="single" w:color="2D7DD2" w:sz="12" w:space="4"/>
        </w:pBdr>
        <w:shd w:fill="F3F4F6" w:val="clear"/>
        <w:spacing w:before="0" w:after="80"/>
        <w:ind w:left="360"/>
      </w:pPr>
      <w:r>
        <w:rPr>
          <w:rFonts w:ascii="Courier New" w:cs="Courier New" w:eastAsia="Courier New" w:hAnsi="Courier New"/>
          <w:i w:val="false"/>
          <w:iCs w:val="false"/>
          <w:color w:val="1A1A1A"/>
          <w:sz w:val="19"/>
          <w:szCs w:val="19"/>
        </w:rPr>
        <w:t xml:space="preserve">    └── methodology.md</w:t>
      </w:r>
    </w:p>
    <w:p>
      <w:pPr>
        <w:spacing w:after="120"/>
      </w:pPr>
      <w:r>
        <w:t xml:space="preserve"/>
      </w:r>
    </w:p>
    <w:p>
      <w:pPr>
        <w:shd w:fill="1A3C5E" w:val="clear"/>
        <w:spacing w:before="400" w:after="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  9.  Regulatory Framework Alignment</w:t>
      </w:r>
    </w:p>
    <w:p>
      <w:pPr>
        <w:shd w:fill="1A3C5E" w:val="clear"/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Relevance to This Project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Basel III / IV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PD model, LGD estimation (45%), Expected Loss calculation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CECL (ASC 326)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Forward-looking credit loss provisioning — ECL card on Page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FDIC CAMELS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Asset quality component — delinquency monitoring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OCC Comptroller Handbook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Credit classification: Current → Special Mention → Loss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CFPB Fair Lending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Borrower segment analysis, DTI threshold monitoring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FFIEC Call Report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Delinquency bucket reporting, charge-off rate methodology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1A3C5E" w:sz="6" w:space="4"/>
        </w:pBdr>
        <w:spacing w:before="200" w:after="12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Built to demonstrate financial risk analytics competency for roles in bank supervision, credit risk management, model validation, and fintech analytics.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Microsoft SQL Server 2019+  |  Python  |  Power BI  |  Page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5E" w:sz="4" w:space="4"/>
      </w:pBdr>
      <w:jc w:val="right"/>
    </w:pPr>
    <w:r>
      <w:rPr>
        <w:rFonts w:ascii="Calibri" w:cs="Calibri" w:eastAsia="Calibri" w:hAnsi="Calibri"/>
        <w:b/>
        <w:bCs/>
        <w:color w:val="1A3C5E"/>
        <w:sz w:val="18"/>
        <w:szCs w:val="18"/>
      </w:rPr>
      <w:t xml:space="preserve">US Financial Loan Monitoring System</w:t>
    </w:r>
    <w:r>
      <w:rPr>
        <w:rFonts w:ascii="Calibri" w:cs="Calibri" w:eastAsia="Calibri" w:hAnsi="Calibri"/>
        <w:color w:val="555555"/>
        <w:sz w:val="18"/>
        <w:szCs w:val="18"/>
      </w:rPr>
      <w:t xml:space="preserve">  |  Project Brief  —  SQL Server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2026-03-26T14:18:02.402Z</dcterms:created>
  <dcterms:modified xsi:type="dcterms:W3CDTF">2026-03-26T14:18:02.403Z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