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23F952" w14:textId="77777777" w:rsidR="009866CF" w:rsidRDefault="00000000">
      <w:pPr>
        <w:spacing w:before="200"/>
        <w:jc w:val="center"/>
      </w:pPr>
      <w:r>
        <w:rPr>
          <w:b/>
          <w:bCs/>
          <w:color w:val="1B2340"/>
          <w:sz w:val="24"/>
          <w:szCs w:val="24"/>
        </w:rPr>
        <w:t>ACADÉMIE DES MATHÉMATIQUES APPLIQUÉES</w:t>
      </w:r>
    </w:p>
    <w:p w14:paraId="6D208884" w14:textId="6A6D1700" w:rsidR="009866CF" w:rsidRDefault="00000000">
      <w:pPr>
        <w:spacing w:after="600"/>
        <w:jc w:val="center"/>
      </w:pPr>
      <w:r>
        <w:rPr>
          <w:i/>
          <w:iCs/>
          <w:color w:val="595959"/>
          <w:sz w:val="20"/>
          <w:szCs w:val="20"/>
        </w:rPr>
        <w:t xml:space="preserve">Programme d'Introduction à l'Intelligence Artificielle </w:t>
      </w:r>
      <w:r w:rsidR="00D0019B">
        <w:rPr>
          <w:i/>
          <w:iCs/>
          <w:color w:val="595959"/>
          <w:sz w:val="20"/>
          <w:szCs w:val="20"/>
        </w:rPr>
        <w:t>-</w:t>
      </w:r>
      <w:r>
        <w:rPr>
          <w:i/>
          <w:iCs/>
          <w:color w:val="595959"/>
          <w:sz w:val="20"/>
          <w:szCs w:val="20"/>
        </w:rPr>
        <w:t xml:space="preserve"> Cohorte PIIA 2026</w:t>
      </w:r>
    </w:p>
    <w:p w14:paraId="142225F8" w14:textId="77777777" w:rsidR="009866CF" w:rsidRDefault="00000000">
      <w:pPr>
        <w:spacing w:before="800" w:after="100"/>
        <w:jc w:val="center"/>
      </w:pPr>
      <w:r>
        <w:rPr>
          <w:rFonts w:ascii="Georgia" w:eastAsia="Georgia" w:hAnsi="Georgia" w:cs="Georgia"/>
          <w:b/>
          <w:bCs/>
          <w:color w:val="6C5CA6"/>
          <w:sz w:val="30"/>
          <w:szCs w:val="30"/>
        </w:rPr>
        <w:t>BASE DOCUMENTAIRE DE RÉFÉRENCE</w:t>
      </w:r>
    </w:p>
    <w:p w14:paraId="7D1751DD" w14:textId="556AD72B" w:rsidR="009866CF" w:rsidRDefault="00000000">
      <w:pPr>
        <w:spacing w:after="500"/>
        <w:jc w:val="center"/>
      </w:pPr>
      <w:r>
        <w:rPr>
          <w:color w:val="595959"/>
        </w:rPr>
        <w:t xml:space="preserve">Semaine 1 </w:t>
      </w:r>
      <w:r w:rsidR="00D0019B">
        <w:rPr>
          <w:color w:val="595959"/>
        </w:rPr>
        <w:t>-</w:t>
      </w:r>
      <w:r>
        <w:rPr>
          <w:color w:val="595959"/>
        </w:rPr>
        <w:t xml:space="preserve"> Culture Générale du Projet Intégrateur</w:t>
      </w:r>
    </w:p>
    <w:p w14:paraId="02AC8306" w14:textId="77777777" w:rsidR="009866CF" w:rsidRDefault="00000000">
      <w:pPr>
        <w:spacing w:before="400" w:after="200"/>
        <w:jc w:val="center"/>
      </w:pPr>
      <w:r>
        <w:rPr>
          <w:rFonts w:ascii="Georgia" w:eastAsia="Georgia" w:hAnsi="Georgia" w:cs="Georgia"/>
          <w:b/>
          <w:bCs/>
          <w:color w:val="1B2340"/>
          <w:sz w:val="24"/>
          <w:szCs w:val="24"/>
        </w:rPr>
        <w:t>PROJET 1</w:t>
      </w:r>
    </w:p>
    <w:p w14:paraId="2F2B3AD9" w14:textId="77777777" w:rsidR="009866CF" w:rsidRDefault="00000000">
      <w:pPr>
        <w:spacing w:after="800"/>
        <w:jc w:val="center"/>
      </w:pPr>
      <w:r>
        <w:rPr>
          <w:rFonts w:ascii="Georgia" w:eastAsia="Georgia" w:hAnsi="Georgia" w:cs="Georgia"/>
          <w:b/>
          <w:bCs/>
          <w:color w:val="1B2340"/>
          <w:sz w:val="40"/>
          <w:szCs w:val="40"/>
        </w:rPr>
        <w:t>Vidéoprotection intelligente et vidéo-verbalisation par Computer Vision</w:t>
      </w:r>
    </w:p>
    <w:p w14:paraId="287D5D1E" w14:textId="77777777" w:rsidR="009866CF" w:rsidRDefault="00000000">
      <w:pPr>
        <w:spacing w:before="1200" w:after="80"/>
        <w:jc w:val="center"/>
      </w:pPr>
      <w:r>
        <w:rPr>
          <w:color w:val="595959"/>
          <w:sz w:val="20"/>
          <w:szCs w:val="20"/>
        </w:rPr>
        <w:t>Domaine : Computer Vision · Sécurité publique · Intelligence Artificielle</w:t>
      </w:r>
    </w:p>
    <w:p w14:paraId="6C6A20E9" w14:textId="77777777" w:rsidR="009866CF" w:rsidRDefault="00000000">
      <w:pPr>
        <w:spacing w:after="80"/>
        <w:jc w:val="center"/>
      </w:pPr>
      <w:r>
        <w:rPr>
          <w:color w:val="595959"/>
          <w:sz w:val="20"/>
          <w:szCs w:val="20"/>
        </w:rPr>
        <w:t xml:space="preserve">Complexité technique : Moyenne (détection d'objets, </w:t>
      </w:r>
      <w:proofErr w:type="spellStart"/>
      <w:r>
        <w:rPr>
          <w:color w:val="595959"/>
          <w:sz w:val="20"/>
          <w:szCs w:val="20"/>
        </w:rPr>
        <w:t>tracking</w:t>
      </w:r>
      <w:proofErr w:type="spellEnd"/>
      <w:r>
        <w:rPr>
          <w:color w:val="595959"/>
          <w:sz w:val="20"/>
          <w:szCs w:val="20"/>
        </w:rPr>
        <w:t>, OCR de plaques)</w:t>
      </w:r>
    </w:p>
    <w:p w14:paraId="3E7D82C1" w14:textId="77777777" w:rsidR="009866CF" w:rsidRDefault="00000000">
      <w:pPr>
        <w:spacing w:after="1400"/>
        <w:jc w:val="center"/>
      </w:pPr>
      <w:r>
        <w:rPr>
          <w:color w:val="595959"/>
          <w:sz w:val="20"/>
          <w:szCs w:val="20"/>
        </w:rPr>
        <w:t>Commanditaire institutionnel : Ministère du Cadre de Vie et des Transports (MTDI), République du Bénin</w:t>
      </w:r>
    </w:p>
    <w:p w14:paraId="700E068B" w14:textId="77777777" w:rsidR="009866CF" w:rsidRDefault="00000000">
      <w:pPr>
        <w:spacing w:before="1600" w:after="60"/>
        <w:jc w:val="center"/>
      </w:pPr>
      <w:r>
        <w:rPr>
          <w:color w:val="595959"/>
          <w:sz w:val="20"/>
          <w:szCs w:val="20"/>
        </w:rPr>
        <w:t>Document préparé par</w:t>
      </w:r>
    </w:p>
    <w:p w14:paraId="651DF9EE" w14:textId="5DA7EE21" w:rsidR="009866CF" w:rsidRDefault="00000000">
      <w:pPr>
        <w:spacing w:after="60"/>
        <w:jc w:val="center"/>
      </w:pPr>
      <w:r>
        <w:rPr>
          <w:b/>
          <w:bCs/>
          <w:color w:val="1B2340"/>
          <w:sz w:val="24"/>
          <w:szCs w:val="24"/>
        </w:rPr>
        <w:t>AFOUDA Andrea Omotola</w:t>
      </w:r>
    </w:p>
    <w:p w14:paraId="3A144D28" w14:textId="77777777" w:rsidR="009866CF" w:rsidRDefault="00000000">
      <w:r>
        <w:br w:type="page"/>
      </w:r>
    </w:p>
    <w:p w14:paraId="37E0BA25" w14:textId="77777777" w:rsidR="009866CF" w:rsidRDefault="009866CF">
      <w:pPr>
        <w:sectPr w:rsidR="009866CF">
          <w:pgSz w:w="11908" w:h="16833"/>
          <w:pgMar w:top="1100" w:right="1100" w:bottom="1100" w:left="1100" w:header="708" w:footer="708" w:gutter="0"/>
          <w:cols w:space="720"/>
          <w:docGrid w:linePitch="360"/>
        </w:sectPr>
      </w:pPr>
    </w:p>
    <w:p w14:paraId="4351E346" w14:textId="77777777" w:rsidR="009866CF" w:rsidRDefault="00000000">
      <w:pPr>
        <w:pStyle w:val="Titre1"/>
        <w:spacing w:after="300"/>
      </w:pPr>
      <w:bookmarkStart w:id="0" w:name="_Toc235776276"/>
      <w:r>
        <w:rPr>
          <w:rFonts w:ascii="Georgia" w:eastAsia="Georgia" w:hAnsi="Georgia" w:cs="Georgia"/>
          <w:b/>
          <w:bCs/>
          <w:color w:val="1B2340"/>
        </w:rPr>
        <w:lastRenderedPageBreak/>
        <w:t>Sommaire</w:t>
      </w:r>
      <w:bookmarkEnd w:id="0"/>
    </w:p>
    <w:sdt>
      <w:sdtPr>
        <w:alias w:val="Sommaire"/>
        <w:id w:val="-81921240"/>
      </w:sdtPr>
      <w:sdtContent>
        <w:p w14:paraId="3788D95C" w14:textId="77777777" w:rsidR="00D0019B" w:rsidRDefault="00000000">
          <w:pPr>
            <w:pStyle w:val="TM1"/>
            <w:tabs>
              <w:tab w:val="right" w:leader="dot" w:pos="9018"/>
            </w:tabs>
            <w:rPr>
              <w:noProof/>
            </w:rPr>
          </w:pPr>
          <w:r>
            <w:fldChar w:fldCharType="begin"/>
          </w:r>
          <w:r>
            <w:instrText>TOC \h \o "1-3"</w:instrText>
          </w:r>
          <w:r>
            <w:fldChar w:fldCharType="separate"/>
          </w:r>
          <w:hyperlink w:anchor="_Toc235776276" w:history="1">
            <w:r w:rsidR="00D0019B" w:rsidRPr="008533FF">
              <w:rPr>
                <w:rStyle w:val="Lienhypertexte"/>
                <w:rFonts w:ascii="Georgia" w:eastAsia="Georgia" w:hAnsi="Georgia" w:cs="Georgia"/>
                <w:b/>
                <w:bCs/>
                <w:noProof/>
              </w:rPr>
              <w:t>Sommaire</w:t>
            </w:r>
            <w:r w:rsidR="00D0019B">
              <w:rPr>
                <w:noProof/>
              </w:rPr>
              <w:tab/>
            </w:r>
            <w:r w:rsidR="00D0019B">
              <w:rPr>
                <w:noProof/>
              </w:rPr>
              <w:fldChar w:fldCharType="begin"/>
            </w:r>
            <w:r w:rsidR="00D0019B">
              <w:rPr>
                <w:noProof/>
              </w:rPr>
              <w:instrText xml:space="preserve"> PAGEREF _Toc235776276 \h </w:instrText>
            </w:r>
            <w:r w:rsidR="00D0019B">
              <w:rPr>
                <w:noProof/>
              </w:rPr>
            </w:r>
            <w:r w:rsidR="00D0019B">
              <w:rPr>
                <w:noProof/>
              </w:rPr>
              <w:fldChar w:fldCharType="separate"/>
            </w:r>
            <w:r w:rsidR="00D0019B">
              <w:rPr>
                <w:noProof/>
              </w:rPr>
              <w:t>2</w:t>
            </w:r>
            <w:r w:rsidR="00D0019B">
              <w:rPr>
                <w:noProof/>
              </w:rPr>
              <w:fldChar w:fldCharType="end"/>
            </w:r>
          </w:hyperlink>
        </w:p>
        <w:p w14:paraId="18076B9A" w14:textId="77777777" w:rsidR="00D0019B" w:rsidRDefault="00D0019B">
          <w:pPr>
            <w:pStyle w:val="TM1"/>
            <w:tabs>
              <w:tab w:val="right" w:leader="dot" w:pos="9018"/>
            </w:tabs>
            <w:rPr>
              <w:noProof/>
            </w:rPr>
          </w:pPr>
          <w:hyperlink w:anchor="_Toc235776277" w:history="1">
            <w:r w:rsidRPr="008533FF">
              <w:rPr>
                <w:rStyle w:val="Lienhypertexte"/>
                <w:rFonts w:ascii="Georgia" w:eastAsia="Georgia" w:hAnsi="Georgia" w:cs="Georgia"/>
                <w:b/>
                <w:bCs/>
                <w:noProof/>
              </w:rPr>
              <w:t>1. Introduction et contexte stratégique</w:t>
            </w:r>
            <w:r>
              <w:rPr>
                <w:noProof/>
              </w:rPr>
              <w:tab/>
            </w:r>
            <w:r>
              <w:rPr>
                <w:noProof/>
              </w:rPr>
              <w:fldChar w:fldCharType="begin"/>
            </w:r>
            <w:r>
              <w:rPr>
                <w:noProof/>
              </w:rPr>
              <w:instrText xml:space="preserve"> PAGEREF _Toc235776277 \h </w:instrText>
            </w:r>
            <w:r>
              <w:rPr>
                <w:noProof/>
              </w:rPr>
            </w:r>
            <w:r>
              <w:rPr>
                <w:noProof/>
              </w:rPr>
              <w:fldChar w:fldCharType="separate"/>
            </w:r>
            <w:r>
              <w:rPr>
                <w:noProof/>
              </w:rPr>
              <w:t>3</w:t>
            </w:r>
            <w:r>
              <w:rPr>
                <w:noProof/>
              </w:rPr>
              <w:fldChar w:fldCharType="end"/>
            </w:r>
          </w:hyperlink>
        </w:p>
        <w:p w14:paraId="6FB7A9DD" w14:textId="77777777" w:rsidR="00D0019B" w:rsidRDefault="00D0019B">
          <w:pPr>
            <w:pStyle w:val="TM2"/>
            <w:tabs>
              <w:tab w:val="right" w:leader="dot" w:pos="9018"/>
            </w:tabs>
            <w:rPr>
              <w:noProof/>
            </w:rPr>
          </w:pPr>
          <w:hyperlink w:anchor="_Toc235776278" w:history="1">
            <w:r w:rsidRPr="008533FF">
              <w:rPr>
                <w:rStyle w:val="Lienhypertexte"/>
                <w:rFonts w:ascii="Georgia" w:eastAsia="Georgia" w:hAnsi="Georgia" w:cs="Georgia"/>
                <w:b/>
                <w:bCs/>
                <w:noProof/>
              </w:rPr>
              <w:t>1.</w:t>
            </w:r>
            <w:r w:rsidRPr="008533FF">
              <w:rPr>
                <w:rStyle w:val="Lienhypertexte"/>
                <w:rFonts w:ascii="Georgia" w:eastAsia="Georgia" w:hAnsi="Georgia" w:cs="Georgia"/>
                <w:b/>
                <w:bCs/>
                <w:noProof/>
              </w:rPr>
              <w:t>1</w:t>
            </w:r>
            <w:r w:rsidRPr="008533FF">
              <w:rPr>
                <w:rStyle w:val="Lienhypertexte"/>
                <w:rFonts w:ascii="Georgia" w:eastAsia="Georgia" w:hAnsi="Georgia" w:cs="Georgia"/>
                <w:b/>
                <w:bCs/>
                <w:noProof/>
              </w:rPr>
              <w:t xml:space="preserve"> Une fenêtre politique et budgétaire exceptionnelle</w:t>
            </w:r>
            <w:r>
              <w:rPr>
                <w:noProof/>
              </w:rPr>
              <w:tab/>
            </w:r>
            <w:r>
              <w:rPr>
                <w:noProof/>
              </w:rPr>
              <w:fldChar w:fldCharType="begin"/>
            </w:r>
            <w:r>
              <w:rPr>
                <w:noProof/>
              </w:rPr>
              <w:instrText xml:space="preserve"> PAGEREF _Toc235776278 \h </w:instrText>
            </w:r>
            <w:r>
              <w:rPr>
                <w:noProof/>
              </w:rPr>
            </w:r>
            <w:r>
              <w:rPr>
                <w:noProof/>
              </w:rPr>
              <w:fldChar w:fldCharType="separate"/>
            </w:r>
            <w:r>
              <w:rPr>
                <w:noProof/>
              </w:rPr>
              <w:t>3</w:t>
            </w:r>
            <w:r>
              <w:rPr>
                <w:noProof/>
              </w:rPr>
              <w:fldChar w:fldCharType="end"/>
            </w:r>
          </w:hyperlink>
        </w:p>
        <w:p w14:paraId="73FC88F4" w14:textId="77777777" w:rsidR="00D0019B" w:rsidRDefault="00D0019B">
          <w:pPr>
            <w:pStyle w:val="TM2"/>
            <w:tabs>
              <w:tab w:val="right" w:leader="dot" w:pos="9018"/>
            </w:tabs>
            <w:rPr>
              <w:noProof/>
            </w:rPr>
          </w:pPr>
          <w:hyperlink w:anchor="_Toc235776279" w:history="1">
            <w:r w:rsidRPr="008533FF">
              <w:rPr>
                <w:rStyle w:val="Lienhypertexte"/>
                <w:rFonts w:ascii="Georgia" w:eastAsia="Georgia" w:hAnsi="Georgia" w:cs="Georgia"/>
                <w:b/>
                <w:bCs/>
                <w:noProof/>
              </w:rPr>
              <w:t>1.2 Problématique de recherche</w:t>
            </w:r>
            <w:r>
              <w:rPr>
                <w:noProof/>
              </w:rPr>
              <w:tab/>
            </w:r>
            <w:r>
              <w:rPr>
                <w:noProof/>
              </w:rPr>
              <w:fldChar w:fldCharType="begin"/>
            </w:r>
            <w:r>
              <w:rPr>
                <w:noProof/>
              </w:rPr>
              <w:instrText xml:space="preserve"> PAGEREF _Toc235776279 \h </w:instrText>
            </w:r>
            <w:r>
              <w:rPr>
                <w:noProof/>
              </w:rPr>
            </w:r>
            <w:r>
              <w:rPr>
                <w:noProof/>
              </w:rPr>
              <w:fldChar w:fldCharType="separate"/>
            </w:r>
            <w:r>
              <w:rPr>
                <w:noProof/>
              </w:rPr>
              <w:t>3</w:t>
            </w:r>
            <w:r>
              <w:rPr>
                <w:noProof/>
              </w:rPr>
              <w:fldChar w:fldCharType="end"/>
            </w:r>
          </w:hyperlink>
        </w:p>
        <w:p w14:paraId="3A1EFAA4" w14:textId="77777777" w:rsidR="00D0019B" w:rsidRDefault="00D0019B">
          <w:pPr>
            <w:pStyle w:val="TM2"/>
            <w:tabs>
              <w:tab w:val="right" w:leader="dot" w:pos="9018"/>
            </w:tabs>
            <w:rPr>
              <w:noProof/>
            </w:rPr>
          </w:pPr>
          <w:hyperlink w:anchor="_Toc235776280" w:history="1">
            <w:r w:rsidRPr="008533FF">
              <w:rPr>
                <w:rStyle w:val="Lienhypertexte"/>
                <w:rFonts w:ascii="Georgia" w:eastAsia="Georgia" w:hAnsi="Georgia" w:cs="Georgia"/>
                <w:b/>
                <w:bCs/>
                <w:noProof/>
              </w:rPr>
              <w:t>1.3 Objectifs du projet</w:t>
            </w:r>
            <w:r>
              <w:rPr>
                <w:noProof/>
              </w:rPr>
              <w:tab/>
            </w:r>
            <w:r>
              <w:rPr>
                <w:noProof/>
              </w:rPr>
              <w:fldChar w:fldCharType="begin"/>
            </w:r>
            <w:r>
              <w:rPr>
                <w:noProof/>
              </w:rPr>
              <w:instrText xml:space="preserve"> PAGEREF _Toc235776280 \h </w:instrText>
            </w:r>
            <w:r>
              <w:rPr>
                <w:noProof/>
              </w:rPr>
            </w:r>
            <w:r>
              <w:rPr>
                <w:noProof/>
              </w:rPr>
              <w:fldChar w:fldCharType="separate"/>
            </w:r>
            <w:r>
              <w:rPr>
                <w:noProof/>
              </w:rPr>
              <w:t>3</w:t>
            </w:r>
            <w:r>
              <w:rPr>
                <w:noProof/>
              </w:rPr>
              <w:fldChar w:fldCharType="end"/>
            </w:r>
          </w:hyperlink>
        </w:p>
        <w:p w14:paraId="5182451C" w14:textId="77777777" w:rsidR="00D0019B" w:rsidRDefault="00D0019B">
          <w:pPr>
            <w:pStyle w:val="TM3"/>
            <w:tabs>
              <w:tab w:val="right" w:leader="dot" w:pos="9018"/>
            </w:tabs>
            <w:rPr>
              <w:noProof/>
            </w:rPr>
          </w:pPr>
          <w:hyperlink w:anchor="_Toc235776281" w:history="1">
            <w:r w:rsidRPr="008533FF">
              <w:rPr>
                <w:rStyle w:val="Lienhypertexte"/>
                <w:b/>
                <w:bCs/>
                <w:noProof/>
              </w:rPr>
              <w:t>Objectif général</w:t>
            </w:r>
            <w:r>
              <w:rPr>
                <w:noProof/>
              </w:rPr>
              <w:tab/>
            </w:r>
            <w:r>
              <w:rPr>
                <w:noProof/>
              </w:rPr>
              <w:fldChar w:fldCharType="begin"/>
            </w:r>
            <w:r>
              <w:rPr>
                <w:noProof/>
              </w:rPr>
              <w:instrText xml:space="preserve"> PAGEREF _Toc235776281 \h </w:instrText>
            </w:r>
            <w:r>
              <w:rPr>
                <w:noProof/>
              </w:rPr>
            </w:r>
            <w:r>
              <w:rPr>
                <w:noProof/>
              </w:rPr>
              <w:fldChar w:fldCharType="separate"/>
            </w:r>
            <w:r>
              <w:rPr>
                <w:noProof/>
              </w:rPr>
              <w:t>3</w:t>
            </w:r>
            <w:r>
              <w:rPr>
                <w:noProof/>
              </w:rPr>
              <w:fldChar w:fldCharType="end"/>
            </w:r>
          </w:hyperlink>
        </w:p>
        <w:p w14:paraId="0DA233B8" w14:textId="77777777" w:rsidR="00D0019B" w:rsidRDefault="00D0019B">
          <w:pPr>
            <w:pStyle w:val="TM3"/>
            <w:tabs>
              <w:tab w:val="right" w:leader="dot" w:pos="9018"/>
            </w:tabs>
            <w:rPr>
              <w:noProof/>
            </w:rPr>
          </w:pPr>
          <w:hyperlink w:anchor="_Toc235776282" w:history="1">
            <w:r w:rsidRPr="008533FF">
              <w:rPr>
                <w:rStyle w:val="Lienhypertexte"/>
                <w:b/>
                <w:bCs/>
                <w:noProof/>
              </w:rPr>
              <w:t>Objectifs spécifiques</w:t>
            </w:r>
            <w:r>
              <w:rPr>
                <w:noProof/>
              </w:rPr>
              <w:tab/>
            </w:r>
            <w:r>
              <w:rPr>
                <w:noProof/>
              </w:rPr>
              <w:fldChar w:fldCharType="begin"/>
            </w:r>
            <w:r>
              <w:rPr>
                <w:noProof/>
              </w:rPr>
              <w:instrText xml:space="preserve"> PAGEREF _Toc235776282 \h </w:instrText>
            </w:r>
            <w:r>
              <w:rPr>
                <w:noProof/>
              </w:rPr>
            </w:r>
            <w:r>
              <w:rPr>
                <w:noProof/>
              </w:rPr>
              <w:fldChar w:fldCharType="separate"/>
            </w:r>
            <w:r>
              <w:rPr>
                <w:noProof/>
              </w:rPr>
              <w:t>4</w:t>
            </w:r>
            <w:r>
              <w:rPr>
                <w:noProof/>
              </w:rPr>
              <w:fldChar w:fldCharType="end"/>
            </w:r>
          </w:hyperlink>
        </w:p>
        <w:p w14:paraId="22A6C694" w14:textId="77777777" w:rsidR="00D0019B" w:rsidRDefault="00D0019B">
          <w:pPr>
            <w:pStyle w:val="TM2"/>
            <w:tabs>
              <w:tab w:val="right" w:leader="dot" w:pos="9018"/>
            </w:tabs>
            <w:rPr>
              <w:noProof/>
            </w:rPr>
          </w:pPr>
          <w:hyperlink w:anchor="_Toc235776283" w:history="1">
            <w:r w:rsidRPr="008533FF">
              <w:rPr>
                <w:rStyle w:val="Lienhypertexte"/>
                <w:rFonts w:ascii="Georgia" w:eastAsia="Georgia" w:hAnsi="Georgia" w:cs="Georgia"/>
                <w:b/>
                <w:bCs/>
                <w:noProof/>
              </w:rPr>
              <w:t>1.4 Données mobilisables pour le POC</w:t>
            </w:r>
            <w:r>
              <w:rPr>
                <w:noProof/>
              </w:rPr>
              <w:tab/>
            </w:r>
            <w:r>
              <w:rPr>
                <w:noProof/>
              </w:rPr>
              <w:fldChar w:fldCharType="begin"/>
            </w:r>
            <w:r>
              <w:rPr>
                <w:noProof/>
              </w:rPr>
              <w:instrText xml:space="preserve"> PAGEREF _Toc235776283 \h </w:instrText>
            </w:r>
            <w:r>
              <w:rPr>
                <w:noProof/>
              </w:rPr>
            </w:r>
            <w:r>
              <w:rPr>
                <w:noProof/>
              </w:rPr>
              <w:fldChar w:fldCharType="separate"/>
            </w:r>
            <w:r>
              <w:rPr>
                <w:noProof/>
              </w:rPr>
              <w:t>4</w:t>
            </w:r>
            <w:r>
              <w:rPr>
                <w:noProof/>
              </w:rPr>
              <w:fldChar w:fldCharType="end"/>
            </w:r>
          </w:hyperlink>
        </w:p>
        <w:p w14:paraId="731CE019" w14:textId="77777777" w:rsidR="00D0019B" w:rsidRDefault="00D0019B">
          <w:pPr>
            <w:pStyle w:val="TM2"/>
            <w:tabs>
              <w:tab w:val="right" w:leader="dot" w:pos="9018"/>
            </w:tabs>
            <w:rPr>
              <w:noProof/>
            </w:rPr>
          </w:pPr>
          <w:hyperlink w:anchor="_Toc235776284" w:history="1">
            <w:r w:rsidRPr="008533FF">
              <w:rPr>
                <w:rStyle w:val="Lienhypertexte"/>
                <w:rFonts w:ascii="Georgia" w:eastAsia="Georgia" w:hAnsi="Georgia" w:cs="Georgia"/>
                <w:b/>
                <w:bCs/>
                <w:noProof/>
              </w:rPr>
              <w:t>1.5 Méthodologie et architecture technique proposée (vue d'ensemble)</w:t>
            </w:r>
            <w:r>
              <w:rPr>
                <w:noProof/>
              </w:rPr>
              <w:tab/>
            </w:r>
            <w:r>
              <w:rPr>
                <w:noProof/>
              </w:rPr>
              <w:fldChar w:fldCharType="begin"/>
            </w:r>
            <w:r>
              <w:rPr>
                <w:noProof/>
              </w:rPr>
              <w:instrText xml:space="preserve"> PAGEREF _Toc235776284 \h </w:instrText>
            </w:r>
            <w:r>
              <w:rPr>
                <w:noProof/>
              </w:rPr>
            </w:r>
            <w:r>
              <w:rPr>
                <w:noProof/>
              </w:rPr>
              <w:fldChar w:fldCharType="separate"/>
            </w:r>
            <w:r>
              <w:rPr>
                <w:noProof/>
              </w:rPr>
              <w:t>4</w:t>
            </w:r>
            <w:r>
              <w:rPr>
                <w:noProof/>
              </w:rPr>
              <w:fldChar w:fldCharType="end"/>
            </w:r>
          </w:hyperlink>
        </w:p>
        <w:p w14:paraId="35CE1219" w14:textId="77777777" w:rsidR="00D0019B" w:rsidRDefault="00D0019B">
          <w:pPr>
            <w:pStyle w:val="TM2"/>
            <w:tabs>
              <w:tab w:val="right" w:leader="dot" w:pos="9018"/>
            </w:tabs>
            <w:rPr>
              <w:noProof/>
            </w:rPr>
          </w:pPr>
          <w:hyperlink w:anchor="_Toc235776285" w:history="1">
            <w:r w:rsidRPr="008533FF">
              <w:rPr>
                <w:rStyle w:val="Lienhypertexte"/>
                <w:rFonts w:ascii="Georgia" w:eastAsia="Georgia" w:hAnsi="Georgia" w:cs="Georgia"/>
                <w:b/>
                <w:bCs/>
                <w:noProof/>
              </w:rPr>
              <w:t>1.6 Limites, risques et points de vigilance</w:t>
            </w:r>
            <w:r>
              <w:rPr>
                <w:noProof/>
              </w:rPr>
              <w:tab/>
            </w:r>
            <w:r>
              <w:rPr>
                <w:noProof/>
              </w:rPr>
              <w:fldChar w:fldCharType="begin"/>
            </w:r>
            <w:r>
              <w:rPr>
                <w:noProof/>
              </w:rPr>
              <w:instrText xml:space="preserve"> PAGEREF _Toc235776285 \h </w:instrText>
            </w:r>
            <w:r>
              <w:rPr>
                <w:noProof/>
              </w:rPr>
            </w:r>
            <w:r>
              <w:rPr>
                <w:noProof/>
              </w:rPr>
              <w:fldChar w:fldCharType="separate"/>
            </w:r>
            <w:r>
              <w:rPr>
                <w:noProof/>
              </w:rPr>
              <w:t>5</w:t>
            </w:r>
            <w:r>
              <w:rPr>
                <w:noProof/>
              </w:rPr>
              <w:fldChar w:fldCharType="end"/>
            </w:r>
          </w:hyperlink>
        </w:p>
        <w:p w14:paraId="3D991C07" w14:textId="77777777" w:rsidR="00D0019B" w:rsidRDefault="00D0019B">
          <w:pPr>
            <w:pStyle w:val="TM1"/>
            <w:tabs>
              <w:tab w:val="right" w:leader="dot" w:pos="9018"/>
            </w:tabs>
            <w:rPr>
              <w:noProof/>
            </w:rPr>
          </w:pPr>
          <w:hyperlink w:anchor="_Toc235776286" w:history="1">
            <w:r w:rsidRPr="008533FF">
              <w:rPr>
                <w:rStyle w:val="Lienhypertexte"/>
                <w:rFonts w:ascii="Georgia" w:eastAsia="Georgia" w:hAnsi="Georgia" w:cs="Georgia"/>
                <w:b/>
                <w:bCs/>
                <w:noProof/>
              </w:rPr>
              <w:t>2. Fondements scientifiques de la reconnaissance automatique de plaques (ANPR)</w:t>
            </w:r>
            <w:r>
              <w:rPr>
                <w:noProof/>
              </w:rPr>
              <w:tab/>
            </w:r>
            <w:r>
              <w:rPr>
                <w:noProof/>
              </w:rPr>
              <w:fldChar w:fldCharType="begin"/>
            </w:r>
            <w:r>
              <w:rPr>
                <w:noProof/>
              </w:rPr>
              <w:instrText xml:space="preserve"> PAGEREF _Toc235776286 \h </w:instrText>
            </w:r>
            <w:r>
              <w:rPr>
                <w:noProof/>
              </w:rPr>
            </w:r>
            <w:r>
              <w:rPr>
                <w:noProof/>
              </w:rPr>
              <w:fldChar w:fldCharType="separate"/>
            </w:r>
            <w:r>
              <w:rPr>
                <w:noProof/>
              </w:rPr>
              <w:t>5</w:t>
            </w:r>
            <w:r>
              <w:rPr>
                <w:noProof/>
              </w:rPr>
              <w:fldChar w:fldCharType="end"/>
            </w:r>
          </w:hyperlink>
        </w:p>
        <w:p w14:paraId="35D5154E" w14:textId="77777777" w:rsidR="00D0019B" w:rsidRDefault="00D0019B">
          <w:pPr>
            <w:pStyle w:val="TM2"/>
            <w:tabs>
              <w:tab w:val="right" w:leader="dot" w:pos="9018"/>
            </w:tabs>
            <w:rPr>
              <w:noProof/>
            </w:rPr>
          </w:pPr>
          <w:hyperlink w:anchor="_Toc235776287" w:history="1">
            <w:r w:rsidRPr="008533FF">
              <w:rPr>
                <w:rStyle w:val="Lienhypertexte"/>
                <w:rFonts w:ascii="Georgia" w:eastAsia="Georgia" w:hAnsi="Georgia" w:cs="Georgia"/>
                <w:b/>
                <w:bCs/>
                <w:noProof/>
              </w:rPr>
              <w:t>2.1 Qu'est-ce que l'ANPR et pourquoi est-ce le cœur du Projet 1 ?</w:t>
            </w:r>
            <w:r>
              <w:rPr>
                <w:noProof/>
              </w:rPr>
              <w:tab/>
            </w:r>
            <w:r>
              <w:rPr>
                <w:noProof/>
              </w:rPr>
              <w:fldChar w:fldCharType="begin"/>
            </w:r>
            <w:r>
              <w:rPr>
                <w:noProof/>
              </w:rPr>
              <w:instrText xml:space="preserve"> PAGEREF _Toc235776287 \h </w:instrText>
            </w:r>
            <w:r>
              <w:rPr>
                <w:noProof/>
              </w:rPr>
            </w:r>
            <w:r>
              <w:rPr>
                <w:noProof/>
              </w:rPr>
              <w:fldChar w:fldCharType="separate"/>
            </w:r>
            <w:r>
              <w:rPr>
                <w:noProof/>
              </w:rPr>
              <w:t>5</w:t>
            </w:r>
            <w:r>
              <w:rPr>
                <w:noProof/>
              </w:rPr>
              <w:fldChar w:fldCharType="end"/>
            </w:r>
          </w:hyperlink>
        </w:p>
        <w:p w14:paraId="4A9F263B" w14:textId="77777777" w:rsidR="00D0019B" w:rsidRDefault="00D0019B">
          <w:pPr>
            <w:pStyle w:val="TM2"/>
            <w:tabs>
              <w:tab w:val="right" w:leader="dot" w:pos="9018"/>
            </w:tabs>
            <w:rPr>
              <w:noProof/>
            </w:rPr>
          </w:pPr>
          <w:hyperlink w:anchor="_Toc235776288" w:history="1">
            <w:r w:rsidRPr="008533FF">
              <w:rPr>
                <w:rStyle w:val="Lienhypertexte"/>
                <w:rFonts w:ascii="Georgia" w:eastAsia="Georgia" w:hAnsi="Georgia" w:cs="Georgia"/>
                <w:b/>
                <w:bCs/>
                <w:noProof/>
              </w:rPr>
              <w:t>2.2 Le pipeline générique d'un système ANPR</w:t>
            </w:r>
            <w:r>
              <w:rPr>
                <w:noProof/>
              </w:rPr>
              <w:tab/>
            </w:r>
            <w:r>
              <w:rPr>
                <w:noProof/>
              </w:rPr>
              <w:fldChar w:fldCharType="begin"/>
            </w:r>
            <w:r>
              <w:rPr>
                <w:noProof/>
              </w:rPr>
              <w:instrText xml:space="preserve"> PAGEREF _Toc235776288 \h </w:instrText>
            </w:r>
            <w:r>
              <w:rPr>
                <w:noProof/>
              </w:rPr>
            </w:r>
            <w:r>
              <w:rPr>
                <w:noProof/>
              </w:rPr>
              <w:fldChar w:fldCharType="separate"/>
            </w:r>
            <w:r>
              <w:rPr>
                <w:noProof/>
              </w:rPr>
              <w:t>5</w:t>
            </w:r>
            <w:r>
              <w:rPr>
                <w:noProof/>
              </w:rPr>
              <w:fldChar w:fldCharType="end"/>
            </w:r>
          </w:hyperlink>
        </w:p>
        <w:p w14:paraId="568A778E" w14:textId="77777777" w:rsidR="00D0019B" w:rsidRDefault="00D0019B">
          <w:pPr>
            <w:pStyle w:val="TM2"/>
            <w:tabs>
              <w:tab w:val="right" w:leader="dot" w:pos="9018"/>
            </w:tabs>
            <w:rPr>
              <w:noProof/>
            </w:rPr>
          </w:pPr>
          <w:hyperlink w:anchor="_Toc235776289" w:history="1">
            <w:r w:rsidRPr="008533FF">
              <w:rPr>
                <w:rStyle w:val="Lienhypertexte"/>
                <w:rFonts w:ascii="Georgia" w:eastAsia="Georgia" w:hAnsi="Georgia" w:cs="Georgia"/>
                <w:b/>
                <w:bCs/>
                <w:noProof/>
              </w:rPr>
              <w:t>2.3 Techniques d'extraction de la plaque : cinq grandes familles</w:t>
            </w:r>
            <w:r>
              <w:rPr>
                <w:noProof/>
              </w:rPr>
              <w:tab/>
            </w:r>
            <w:r>
              <w:rPr>
                <w:noProof/>
              </w:rPr>
              <w:fldChar w:fldCharType="begin"/>
            </w:r>
            <w:r>
              <w:rPr>
                <w:noProof/>
              </w:rPr>
              <w:instrText xml:space="preserve"> PAGEREF _Toc235776289 \h </w:instrText>
            </w:r>
            <w:r>
              <w:rPr>
                <w:noProof/>
              </w:rPr>
            </w:r>
            <w:r>
              <w:rPr>
                <w:noProof/>
              </w:rPr>
              <w:fldChar w:fldCharType="separate"/>
            </w:r>
            <w:r>
              <w:rPr>
                <w:noProof/>
              </w:rPr>
              <w:t>6</w:t>
            </w:r>
            <w:r>
              <w:rPr>
                <w:noProof/>
              </w:rPr>
              <w:fldChar w:fldCharType="end"/>
            </w:r>
          </w:hyperlink>
        </w:p>
        <w:p w14:paraId="19195F6D" w14:textId="77777777" w:rsidR="00D0019B" w:rsidRDefault="00D0019B">
          <w:pPr>
            <w:pStyle w:val="TM2"/>
            <w:tabs>
              <w:tab w:val="right" w:leader="dot" w:pos="9018"/>
            </w:tabs>
            <w:rPr>
              <w:noProof/>
            </w:rPr>
          </w:pPr>
          <w:hyperlink w:anchor="_Toc235776290" w:history="1">
            <w:r w:rsidRPr="008533FF">
              <w:rPr>
                <w:rStyle w:val="Lienhypertexte"/>
                <w:rFonts w:ascii="Georgia" w:eastAsia="Georgia" w:hAnsi="Georgia" w:cs="Georgia"/>
                <w:b/>
                <w:bCs/>
                <w:noProof/>
              </w:rPr>
              <w:t>2.4 Segmentation et reconnaissance des caractères</w:t>
            </w:r>
            <w:r>
              <w:rPr>
                <w:noProof/>
              </w:rPr>
              <w:tab/>
            </w:r>
            <w:r>
              <w:rPr>
                <w:noProof/>
              </w:rPr>
              <w:fldChar w:fldCharType="begin"/>
            </w:r>
            <w:r>
              <w:rPr>
                <w:noProof/>
              </w:rPr>
              <w:instrText xml:space="preserve"> PAGEREF _Toc235776290 \h </w:instrText>
            </w:r>
            <w:r>
              <w:rPr>
                <w:noProof/>
              </w:rPr>
            </w:r>
            <w:r>
              <w:rPr>
                <w:noProof/>
              </w:rPr>
              <w:fldChar w:fldCharType="separate"/>
            </w:r>
            <w:r>
              <w:rPr>
                <w:noProof/>
              </w:rPr>
              <w:t>6</w:t>
            </w:r>
            <w:r>
              <w:rPr>
                <w:noProof/>
              </w:rPr>
              <w:fldChar w:fldCharType="end"/>
            </w:r>
          </w:hyperlink>
        </w:p>
        <w:p w14:paraId="7D6E8E18" w14:textId="77777777" w:rsidR="00D0019B" w:rsidRDefault="00D0019B">
          <w:pPr>
            <w:pStyle w:val="TM2"/>
            <w:tabs>
              <w:tab w:val="right" w:leader="dot" w:pos="9018"/>
            </w:tabs>
            <w:rPr>
              <w:noProof/>
            </w:rPr>
          </w:pPr>
          <w:hyperlink w:anchor="_Toc235776291" w:history="1">
            <w:r w:rsidRPr="008533FF">
              <w:rPr>
                <w:rStyle w:val="Lienhypertexte"/>
                <w:rFonts w:ascii="Georgia" w:eastAsia="Georgia" w:hAnsi="Georgia" w:cs="Georgia"/>
                <w:b/>
                <w:bCs/>
                <w:noProof/>
              </w:rPr>
              <w:t>2.5 Facteurs de performance et défis environnementaux</w:t>
            </w:r>
            <w:r>
              <w:rPr>
                <w:noProof/>
              </w:rPr>
              <w:tab/>
            </w:r>
            <w:r>
              <w:rPr>
                <w:noProof/>
              </w:rPr>
              <w:fldChar w:fldCharType="begin"/>
            </w:r>
            <w:r>
              <w:rPr>
                <w:noProof/>
              </w:rPr>
              <w:instrText xml:space="preserve"> PAGEREF _Toc235776291 \h </w:instrText>
            </w:r>
            <w:r>
              <w:rPr>
                <w:noProof/>
              </w:rPr>
            </w:r>
            <w:r>
              <w:rPr>
                <w:noProof/>
              </w:rPr>
              <w:fldChar w:fldCharType="separate"/>
            </w:r>
            <w:r>
              <w:rPr>
                <w:noProof/>
              </w:rPr>
              <w:t>7</w:t>
            </w:r>
            <w:r>
              <w:rPr>
                <w:noProof/>
              </w:rPr>
              <w:fldChar w:fldCharType="end"/>
            </w:r>
          </w:hyperlink>
        </w:p>
        <w:p w14:paraId="154E2316" w14:textId="77777777" w:rsidR="00D0019B" w:rsidRDefault="00D0019B">
          <w:pPr>
            <w:pStyle w:val="TM2"/>
            <w:tabs>
              <w:tab w:val="right" w:leader="dot" w:pos="9018"/>
            </w:tabs>
            <w:rPr>
              <w:noProof/>
            </w:rPr>
          </w:pPr>
          <w:hyperlink w:anchor="_Toc235776292" w:history="1">
            <w:r w:rsidRPr="008533FF">
              <w:rPr>
                <w:rStyle w:val="Lienhypertexte"/>
                <w:rFonts w:ascii="Georgia" w:eastAsia="Georgia" w:hAnsi="Georgia" w:cs="Georgia"/>
                <w:b/>
                <w:bCs/>
                <w:noProof/>
              </w:rPr>
              <w:t>2.6 Tendances récentes et perspectives</w:t>
            </w:r>
            <w:r>
              <w:rPr>
                <w:noProof/>
              </w:rPr>
              <w:tab/>
            </w:r>
            <w:r>
              <w:rPr>
                <w:noProof/>
              </w:rPr>
              <w:fldChar w:fldCharType="begin"/>
            </w:r>
            <w:r>
              <w:rPr>
                <w:noProof/>
              </w:rPr>
              <w:instrText xml:space="preserve"> PAGEREF _Toc235776292 \h </w:instrText>
            </w:r>
            <w:r>
              <w:rPr>
                <w:noProof/>
              </w:rPr>
            </w:r>
            <w:r>
              <w:rPr>
                <w:noProof/>
              </w:rPr>
              <w:fldChar w:fldCharType="separate"/>
            </w:r>
            <w:r>
              <w:rPr>
                <w:noProof/>
              </w:rPr>
              <w:t>7</w:t>
            </w:r>
            <w:r>
              <w:rPr>
                <w:noProof/>
              </w:rPr>
              <w:fldChar w:fldCharType="end"/>
            </w:r>
          </w:hyperlink>
        </w:p>
        <w:p w14:paraId="71A4B9E9" w14:textId="77777777" w:rsidR="00D0019B" w:rsidRDefault="00D0019B">
          <w:pPr>
            <w:pStyle w:val="TM1"/>
            <w:tabs>
              <w:tab w:val="right" w:leader="dot" w:pos="9018"/>
            </w:tabs>
            <w:rPr>
              <w:noProof/>
            </w:rPr>
          </w:pPr>
          <w:hyperlink w:anchor="_Toc235776293" w:history="1">
            <w:r w:rsidRPr="008533FF">
              <w:rPr>
                <w:rStyle w:val="Lienhypertexte"/>
                <w:rFonts w:ascii="Georgia" w:eastAsia="Georgia" w:hAnsi="Georgia" w:cs="Georgia"/>
                <w:b/>
                <w:bCs/>
                <w:noProof/>
              </w:rPr>
              <w:t>3. Détection et suivi de véhicules : YOLOv8 et DeepSORT</w:t>
            </w:r>
            <w:r>
              <w:rPr>
                <w:noProof/>
              </w:rPr>
              <w:tab/>
            </w:r>
            <w:r>
              <w:rPr>
                <w:noProof/>
              </w:rPr>
              <w:fldChar w:fldCharType="begin"/>
            </w:r>
            <w:r>
              <w:rPr>
                <w:noProof/>
              </w:rPr>
              <w:instrText xml:space="preserve"> PAGEREF _Toc235776293 \h </w:instrText>
            </w:r>
            <w:r>
              <w:rPr>
                <w:noProof/>
              </w:rPr>
            </w:r>
            <w:r>
              <w:rPr>
                <w:noProof/>
              </w:rPr>
              <w:fldChar w:fldCharType="separate"/>
            </w:r>
            <w:r>
              <w:rPr>
                <w:noProof/>
              </w:rPr>
              <w:t>8</w:t>
            </w:r>
            <w:r>
              <w:rPr>
                <w:noProof/>
              </w:rPr>
              <w:fldChar w:fldCharType="end"/>
            </w:r>
          </w:hyperlink>
        </w:p>
        <w:p w14:paraId="577D2551" w14:textId="77777777" w:rsidR="00D0019B" w:rsidRDefault="00D0019B">
          <w:pPr>
            <w:pStyle w:val="TM2"/>
            <w:tabs>
              <w:tab w:val="right" w:leader="dot" w:pos="9018"/>
            </w:tabs>
            <w:rPr>
              <w:noProof/>
            </w:rPr>
          </w:pPr>
          <w:hyperlink w:anchor="_Toc235776294" w:history="1">
            <w:r w:rsidRPr="008533FF">
              <w:rPr>
                <w:rStyle w:val="Lienhypertexte"/>
                <w:rFonts w:ascii="Georgia" w:eastAsia="Georgia" w:hAnsi="Georgia" w:cs="Georgia"/>
                <w:b/>
                <w:bCs/>
                <w:noProof/>
              </w:rPr>
              <w:t>3.1 Pourquoi le tracking est indispensable, au-delà de la simple détection</w:t>
            </w:r>
            <w:r>
              <w:rPr>
                <w:noProof/>
              </w:rPr>
              <w:tab/>
            </w:r>
            <w:r>
              <w:rPr>
                <w:noProof/>
              </w:rPr>
              <w:fldChar w:fldCharType="begin"/>
            </w:r>
            <w:r>
              <w:rPr>
                <w:noProof/>
              </w:rPr>
              <w:instrText xml:space="preserve"> PAGEREF _Toc235776294 \h </w:instrText>
            </w:r>
            <w:r>
              <w:rPr>
                <w:noProof/>
              </w:rPr>
            </w:r>
            <w:r>
              <w:rPr>
                <w:noProof/>
              </w:rPr>
              <w:fldChar w:fldCharType="separate"/>
            </w:r>
            <w:r>
              <w:rPr>
                <w:noProof/>
              </w:rPr>
              <w:t>8</w:t>
            </w:r>
            <w:r>
              <w:rPr>
                <w:noProof/>
              </w:rPr>
              <w:fldChar w:fldCharType="end"/>
            </w:r>
          </w:hyperlink>
        </w:p>
        <w:p w14:paraId="770D700F" w14:textId="77777777" w:rsidR="00D0019B" w:rsidRDefault="00D0019B">
          <w:pPr>
            <w:pStyle w:val="TM2"/>
            <w:tabs>
              <w:tab w:val="right" w:leader="dot" w:pos="9018"/>
            </w:tabs>
            <w:rPr>
              <w:noProof/>
            </w:rPr>
          </w:pPr>
          <w:hyperlink w:anchor="_Toc235776295" w:history="1">
            <w:r w:rsidRPr="008533FF">
              <w:rPr>
                <w:rStyle w:val="Lienhypertexte"/>
                <w:rFonts w:ascii="Georgia" w:eastAsia="Georgia" w:hAnsi="Georgia" w:cs="Georgia"/>
                <w:b/>
                <w:bCs/>
                <w:noProof/>
              </w:rPr>
              <w:t>3.2 Architecture de YOLOv8</w:t>
            </w:r>
            <w:r>
              <w:rPr>
                <w:noProof/>
              </w:rPr>
              <w:tab/>
            </w:r>
            <w:r>
              <w:rPr>
                <w:noProof/>
              </w:rPr>
              <w:fldChar w:fldCharType="begin"/>
            </w:r>
            <w:r>
              <w:rPr>
                <w:noProof/>
              </w:rPr>
              <w:instrText xml:space="preserve"> PAGEREF _Toc235776295 \h </w:instrText>
            </w:r>
            <w:r>
              <w:rPr>
                <w:noProof/>
              </w:rPr>
            </w:r>
            <w:r>
              <w:rPr>
                <w:noProof/>
              </w:rPr>
              <w:fldChar w:fldCharType="separate"/>
            </w:r>
            <w:r>
              <w:rPr>
                <w:noProof/>
              </w:rPr>
              <w:t>8</w:t>
            </w:r>
            <w:r>
              <w:rPr>
                <w:noProof/>
              </w:rPr>
              <w:fldChar w:fldCharType="end"/>
            </w:r>
          </w:hyperlink>
        </w:p>
        <w:p w14:paraId="5990F545" w14:textId="77777777" w:rsidR="00D0019B" w:rsidRDefault="00D0019B">
          <w:pPr>
            <w:pStyle w:val="TM2"/>
            <w:tabs>
              <w:tab w:val="right" w:leader="dot" w:pos="9018"/>
            </w:tabs>
            <w:rPr>
              <w:noProof/>
            </w:rPr>
          </w:pPr>
          <w:hyperlink w:anchor="_Toc235776296" w:history="1">
            <w:r w:rsidRPr="008533FF">
              <w:rPr>
                <w:rStyle w:val="Lienhypertexte"/>
                <w:rFonts w:ascii="Georgia" w:eastAsia="Georgia" w:hAnsi="Georgia" w:cs="Georgia"/>
                <w:b/>
                <w:bCs/>
                <w:noProof/>
              </w:rPr>
              <w:t>3.3 Le principe de DeepSORT</w:t>
            </w:r>
            <w:r>
              <w:rPr>
                <w:noProof/>
              </w:rPr>
              <w:tab/>
            </w:r>
            <w:r>
              <w:rPr>
                <w:noProof/>
              </w:rPr>
              <w:fldChar w:fldCharType="begin"/>
            </w:r>
            <w:r>
              <w:rPr>
                <w:noProof/>
              </w:rPr>
              <w:instrText xml:space="preserve"> PAGEREF _Toc235776296 \h </w:instrText>
            </w:r>
            <w:r>
              <w:rPr>
                <w:noProof/>
              </w:rPr>
            </w:r>
            <w:r>
              <w:rPr>
                <w:noProof/>
              </w:rPr>
              <w:fldChar w:fldCharType="separate"/>
            </w:r>
            <w:r>
              <w:rPr>
                <w:noProof/>
              </w:rPr>
              <w:t>9</w:t>
            </w:r>
            <w:r>
              <w:rPr>
                <w:noProof/>
              </w:rPr>
              <w:fldChar w:fldCharType="end"/>
            </w:r>
          </w:hyperlink>
        </w:p>
        <w:p w14:paraId="291E41CB" w14:textId="77777777" w:rsidR="00D0019B" w:rsidRDefault="00D0019B">
          <w:pPr>
            <w:pStyle w:val="TM2"/>
            <w:tabs>
              <w:tab w:val="right" w:leader="dot" w:pos="9018"/>
            </w:tabs>
            <w:rPr>
              <w:noProof/>
            </w:rPr>
          </w:pPr>
          <w:hyperlink w:anchor="_Toc235776297" w:history="1">
            <w:r w:rsidRPr="008533FF">
              <w:rPr>
                <w:rStyle w:val="Lienhypertexte"/>
                <w:rFonts w:ascii="Georgia" w:eastAsia="Georgia" w:hAnsi="Georgia" w:cs="Georgia"/>
                <w:b/>
                <w:bCs/>
                <w:noProof/>
              </w:rPr>
              <w:t>3.4 Métriques d'évaluation retenues</w:t>
            </w:r>
            <w:r>
              <w:rPr>
                <w:noProof/>
              </w:rPr>
              <w:tab/>
            </w:r>
            <w:r>
              <w:rPr>
                <w:noProof/>
              </w:rPr>
              <w:fldChar w:fldCharType="begin"/>
            </w:r>
            <w:r>
              <w:rPr>
                <w:noProof/>
              </w:rPr>
              <w:instrText xml:space="preserve"> PAGEREF _Toc235776297 \h </w:instrText>
            </w:r>
            <w:r>
              <w:rPr>
                <w:noProof/>
              </w:rPr>
            </w:r>
            <w:r>
              <w:rPr>
                <w:noProof/>
              </w:rPr>
              <w:fldChar w:fldCharType="separate"/>
            </w:r>
            <w:r>
              <w:rPr>
                <w:noProof/>
              </w:rPr>
              <w:t>9</w:t>
            </w:r>
            <w:r>
              <w:rPr>
                <w:noProof/>
              </w:rPr>
              <w:fldChar w:fldCharType="end"/>
            </w:r>
          </w:hyperlink>
        </w:p>
        <w:p w14:paraId="08CEC78A" w14:textId="77777777" w:rsidR="00D0019B" w:rsidRDefault="00D0019B">
          <w:pPr>
            <w:pStyle w:val="TM2"/>
            <w:tabs>
              <w:tab w:val="right" w:leader="dot" w:pos="9018"/>
            </w:tabs>
            <w:rPr>
              <w:noProof/>
            </w:rPr>
          </w:pPr>
          <w:hyperlink w:anchor="_Toc235776298" w:history="1">
            <w:r w:rsidRPr="008533FF">
              <w:rPr>
                <w:rStyle w:val="Lienhypertexte"/>
                <w:rFonts w:ascii="Georgia" w:eastAsia="Georgia" w:hAnsi="Georgia" w:cs="Georgia"/>
                <w:b/>
                <w:bCs/>
                <w:noProof/>
              </w:rPr>
              <w:t>3.5 Limites identifiées par les auteurs</w:t>
            </w:r>
            <w:r>
              <w:rPr>
                <w:noProof/>
              </w:rPr>
              <w:tab/>
            </w:r>
            <w:r>
              <w:rPr>
                <w:noProof/>
              </w:rPr>
              <w:fldChar w:fldCharType="begin"/>
            </w:r>
            <w:r>
              <w:rPr>
                <w:noProof/>
              </w:rPr>
              <w:instrText xml:space="preserve"> PAGEREF _Toc235776298 \h </w:instrText>
            </w:r>
            <w:r>
              <w:rPr>
                <w:noProof/>
              </w:rPr>
            </w:r>
            <w:r>
              <w:rPr>
                <w:noProof/>
              </w:rPr>
              <w:fldChar w:fldCharType="separate"/>
            </w:r>
            <w:r>
              <w:rPr>
                <w:noProof/>
              </w:rPr>
              <w:t>10</w:t>
            </w:r>
            <w:r>
              <w:rPr>
                <w:noProof/>
              </w:rPr>
              <w:fldChar w:fldCharType="end"/>
            </w:r>
          </w:hyperlink>
        </w:p>
        <w:p w14:paraId="7FC9B4D9" w14:textId="77777777" w:rsidR="00D0019B" w:rsidRDefault="00D0019B">
          <w:pPr>
            <w:pStyle w:val="TM2"/>
            <w:tabs>
              <w:tab w:val="right" w:leader="dot" w:pos="9018"/>
            </w:tabs>
            <w:rPr>
              <w:noProof/>
            </w:rPr>
          </w:pPr>
          <w:hyperlink w:anchor="_Toc235776299" w:history="1">
            <w:r w:rsidRPr="008533FF">
              <w:rPr>
                <w:rStyle w:val="Lienhypertexte"/>
                <w:rFonts w:ascii="Georgia" w:eastAsia="Georgia" w:hAnsi="Georgia" w:cs="Georgia"/>
                <w:b/>
                <w:bCs/>
                <w:noProof/>
              </w:rPr>
              <w:t>3.6 Synthèse comparative des deux sources</w:t>
            </w:r>
            <w:r>
              <w:rPr>
                <w:noProof/>
              </w:rPr>
              <w:tab/>
            </w:r>
            <w:r>
              <w:rPr>
                <w:noProof/>
              </w:rPr>
              <w:fldChar w:fldCharType="begin"/>
            </w:r>
            <w:r>
              <w:rPr>
                <w:noProof/>
              </w:rPr>
              <w:instrText xml:space="preserve"> PAGEREF _Toc235776299 \h </w:instrText>
            </w:r>
            <w:r>
              <w:rPr>
                <w:noProof/>
              </w:rPr>
            </w:r>
            <w:r>
              <w:rPr>
                <w:noProof/>
              </w:rPr>
              <w:fldChar w:fldCharType="separate"/>
            </w:r>
            <w:r>
              <w:rPr>
                <w:noProof/>
              </w:rPr>
              <w:t>10</w:t>
            </w:r>
            <w:r>
              <w:rPr>
                <w:noProof/>
              </w:rPr>
              <w:fldChar w:fldCharType="end"/>
            </w:r>
          </w:hyperlink>
        </w:p>
        <w:p w14:paraId="782BE01D" w14:textId="77777777" w:rsidR="00D0019B" w:rsidRDefault="00D0019B">
          <w:pPr>
            <w:pStyle w:val="TM1"/>
            <w:tabs>
              <w:tab w:val="right" w:leader="dot" w:pos="9018"/>
            </w:tabs>
            <w:rPr>
              <w:noProof/>
            </w:rPr>
          </w:pPr>
          <w:hyperlink w:anchor="_Toc235776300" w:history="1">
            <w:r w:rsidRPr="008533FF">
              <w:rPr>
                <w:rStyle w:val="Lienhypertexte"/>
                <w:rFonts w:ascii="Georgia" w:eastAsia="Georgia" w:hAnsi="Georgia" w:cs="Georgia"/>
                <w:b/>
                <w:bCs/>
                <w:noProof/>
              </w:rPr>
              <w:t>4. Glossaire technique</w:t>
            </w:r>
            <w:r>
              <w:rPr>
                <w:noProof/>
              </w:rPr>
              <w:tab/>
            </w:r>
            <w:r>
              <w:rPr>
                <w:noProof/>
              </w:rPr>
              <w:fldChar w:fldCharType="begin"/>
            </w:r>
            <w:r>
              <w:rPr>
                <w:noProof/>
              </w:rPr>
              <w:instrText xml:space="preserve"> PAGEREF _Toc235776300 \h </w:instrText>
            </w:r>
            <w:r>
              <w:rPr>
                <w:noProof/>
              </w:rPr>
            </w:r>
            <w:r>
              <w:rPr>
                <w:noProof/>
              </w:rPr>
              <w:fldChar w:fldCharType="separate"/>
            </w:r>
            <w:r>
              <w:rPr>
                <w:noProof/>
              </w:rPr>
              <w:t>10</w:t>
            </w:r>
            <w:r>
              <w:rPr>
                <w:noProof/>
              </w:rPr>
              <w:fldChar w:fldCharType="end"/>
            </w:r>
          </w:hyperlink>
        </w:p>
        <w:p w14:paraId="4641BF55" w14:textId="77777777" w:rsidR="00D0019B" w:rsidRDefault="00D0019B">
          <w:pPr>
            <w:pStyle w:val="TM1"/>
            <w:tabs>
              <w:tab w:val="right" w:leader="dot" w:pos="9018"/>
            </w:tabs>
            <w:rPr>
              <w:noProof/>
            </w:rPr>
          </w:pPr>
          <w:hyperlink w:anchor="_Toc235776301" w:history="1">
            <w:r w:rsidRPr="008533FF">
              <w:rPr>
                <w:rStyle w:val="Lienhypertexte"/>
                <w:rFonts w:ascii="Georgia" w:eastAsia="Georgia" w:hAnsi="Georgia" w:cs="Georgia"/>
                <w:b/>
                <w:bCs/>
                <w:noProof/>
              </w:rPr>
              <w:t>5. Bibliographie</w:t>
            </w:r>
            <w:r>
              <w:rPr>
                <w:noProof/>
              </w:rPr>
              <w:tab/>
            </w:r>
            <w:r>
              <w:rPr>
                <w:noProof/>
              </w:rPr>
              <w:fldChar w:fldCharType="begin"/>
            </w:r>
            <w:r>
              <w:rPr>
                <w:noProof/>
              </w:rPr>
              <w:instrText xml:space="preserve"> PAGEREF _Toc235776301 \h </w:instrText>
            </w:r>
            <w:r>
              <w:rPr>
                <w:noProof/>
              </w:rPr>
            </w:r>
            <w:r>
              <w:rPr>
                <w:noProof/>
              </w:rPr>
              <w:fldChar w:fldCharType="separate"/>
            </w:r>
            <w:r>
              <w:rPr>
                <w:noProof/>
              </w:rPr>
              <w:t>11</w:t>
            </w:r>
            <w:r>
              <w:rPr>
                <w:noProof/>
              </w:rPr>
              <w:fldChar w:fldCharType="end"/>
            </w:r>
          </w:hyperlink>
        </w:p>
        <w:p w14:paraId="730C6884" w14:textId="09BAAD93" w:rsidR="009866CF" w:rsidRDefault="00000000" w:rsidP="00D0019B">
          <w:r>
            <w:fldChar w:fldCharType="end"/>
          </w:r>
        </w:p>
      </w:sdtContent>
    </w:sdt>
    <w:p w14:paraId="3E127B07" w14:textId="77777777" w:rsidR="009866CF" w:rsidRDefault="00000000">
      <w:r>
        <w:br w:type="page"/>
      </w:r>
    </w:p>
    <w:p w14:paraId="660684BF" w14:textId="77777777" w:rsidR="009866CF" w:rsidRDefault="009866CF">
      <w:pPr>
        <w:sectPr w:rsidR="009866CF">
          <w:pgSz w:w="11908" w:h="16833"/>
          <w:pgMar w:top="1440" w:right="1440" w:bottom="1440" w:left="1440" w:header="708" w:footer="708" w:gutter="0"/>
          <w:cols w:space="720"/>
          <w:docGrid w:linePitch="360"/>
        </w:sectPr>
      </w:pPr>
    </w:p>
    <w:p w14:paraId="231F7EFC" w14:textId="77777777" w:rsidR="009866CF" w:rsidRDefault="00000000">
      <w:pPr>
        <w:pStyle w:val="Titre1"/>
        <w:pBdr>
          <w:bottom w:val="single" w:sz="12" w:space="6" w:color="6C5CA6"/>
        </w:pBdr>
        <w:spacing w:before="480" w:after="240"/>
      </w:pPr>
      <w:bookmarkStart w:id="1" w:name="_Toc235776277"/>
      <w:r>
        <w:rPr>
          <w:rFonts w:ascii="Georgia" w:eastAsia="Georgia" w:hAnsi="Georgia" w:cs="Georgia"/>
          <w:b/>
          <w:bCs/>
          <w:color w:val="1B2340"/>
        </w:rPr>
        <w:t>1. Introduction et contexte stratégique</w:t>
      </w:r>
      <w:bookmarkEnd w:id="1"/>
    </w:p>
    <w:p w14:paraId="0A575D18" w14:textId="77777777" w:rsidR="009866CF" w:rsidRDefault="00000000">
      <w:pPr>
        <w:spacing w:after="160" w:line="288" w:lineRule="auto"/>
        <w:jc w:val="both"/>
      </w:pPr>
      <w:r>
        <w:rPr>
          <w:color w:val="222222"/>
        </w:rPr>
        <w:t>Ce document constitue la base documentaire de référence de l'équipe pour le Projet 1 du Projet Intégrateur PIIA : « Vidéoprotection intelligente et vidéo-verbalisation par Computer Vision ». Il est conçu pour évoluer au fil des ressources (articles scientifiques, documentations techniques, retours d'expérience) collectées durant la semaine de culture générale, avant la phase d'implémentation. Chaque nouvelle source y est analysée, mise en perspective et reliée aux sources précédentes, afin de construire une compréhension cumulative et cohérente du sujet.</w:t>
      </w:r>
    </w:p>
    <w:p w14:paraId="549B2980" w14:textId="77777777" w:rsidR="009866CF" w:rsidRDefault="00000000">
      <w:pPr>
        <w:pStyle w:val="Titre2"/>
        <w:spacing w:before="320" w:after="160"/>
      </w:pPr>
      <w:bookmarkStart w:id="2" w:name="_Toc235776278"/>
      <w:r>
        <w:rPr>
          <w:rFonts w:ascii="Georgia" w:eastAsia="Georgia" w:hAnsi="Georgia" w:cs="Georgia"/>
          <w:b/>
          <w:bCs/>
          <w:color w:val="2E3A66"/>
        </w:rPr>
        <w:t>1.1 Une fenêtre politique et budgétaire exceptionnelle</w:t>
      </w:r>
      <w:bookmarkEnd w:id="2"/>
    </w:p>
    <w:p w14:paraId="5F93EDC9" w14:textId="0E2D3AF2" w:rsidR="009866CF" w:rsidRDefault="00000000">
      <w:pPr>
        <w:spacing w:after="160" w:line="288" w:lineRule="auto"/>
        <w:jc w:val="both"/>
      </w:pPr>
      <w:r>
        <w:rPr>
          <w:color w:val="222222"/>
        </w:rPr>
        <w:t>Le déploiement d'un système national de vidéoprotection est aujourd'hui le chantier sécuritaire le plus avancé budgétairement des cinq derniers Conseils des Ministres au Bénin. Le projet est passé d'une décision de principe, actée en mars 2026, à une dotation budgétaire réévaluée et inscrite dans la loi de finances rectificative de juin 2026 ce qui en fait la fenêtre la plus favorable pour proposer un appui technique en intelligence artificielle.</w:t>
      </w:r>
    </w:p>
    <w:p w14:paraId="49163380" w14:textId="783AFD66" w:rsidR="009866CF" w:rsidRDefault="00000000">
      <w:pPr>
        <w:pBdr>
          <w:left w:val="single" w:sz="18" w:space="8" w:color="8E7CC3"/>
        </w:pBdr>
        <w:spacing w:before="80" w:after="200"/>
        <w:ind w:left="300"/>
      </w:pPr>
      <w:r>
        <w:rPr>
          <w:i/>
          <w:iCs/>
          <w:color w:val="595959"/>
          <w:sz w:val="18"/>
          <w:szCs w:val="18"/>
        </w:rPr>
        <w:t>Source CM : Conseil des Ministres du 11 mars 2026 (n°06/2026/PR/SGG/CM/OJ/ORD), point II-4 « Mise en place d'un système de vidéoprotection dans cinq villes et frontières de la République du Bénin » déploiement progressif, résultats attendus explicitement cités : vidéo-verbalisation, réduction des risques de catastrophe, meilleur contrôle des flux transfrontaliers.</w:t>
      </w:r>
    </w:p>
    <w:p w14:paraId="73C29C86" w14:textId="77777777" w:rsidR="009866CF" w:rsidRDefault="00000000">
      <w:pPr>
        <w:pBdr>
          <w:left w:val="single" w:sz="18" w:space="8" w:color="8E7CC3"/>
        </w:pBdr>
        <w:spacing w:before="80" w:after="200"/>
        <w:ind w:left="300"/>
      </w:pPr>
      <w:r>
        <w:rPr>
          <w:i/>
          <w:iCs/>
          <w:color w:val="595959"/>
          <w:sz w:val="18"/>
          <w:szCs w:val="18"/>
        </w:rPr>
        <w:t>Source CM : Conseil des Ministres du 3 juin 2026 (n°10/2026/PR/SGG/CM/OJ/ORD), volet « sécurité intérieure » de la loi de finances rectificative 2026 : renforcement du réseau de sécurité publique par l'allocation d'une dotation réévaluée pour le déploiement d'une solution de vidéoprotection dans les grandes villes du pays.</w:t>
      </w:r>
    </w:p>
    <w:p w14:paraId="0BFBB785" w14:textId="77777777" w:rsidR="009866CF" w:rsidRDefault="00000000">
      <w:pPr>
        <w:pStyle w:val="Titre2"/>
        <w:spacing w:before="320" w:after="160"/>
      </w:pPr>
      <w:bookmarkStart w:id="3" w:name="_Toc235776279"/>
      <w:r>
        <w:rPr>
          <w:rFonts w:ascii="Georgia" w:eastAsia="Georgia" w:hAnsi="Georgia" w:cs="Georgia"/>
          <w:b/>
          <w:bCs/>
          <w:color w:val="2E3A66"/>
        </w:rPr>
        <w:t>1.2 Problématique de recherche</w:t>
      </w:r>
      <w:bookmarkEnd w:id="3"/>
    </w:p>
    <w:p w14:paraId="52BC2017" w14:textId="77777777" w:rsidR="009866CF" w:rsidRDefault="00000000">
      <w:pPr>
        <w:spacing w:after="160" w:line="288" w:lineRule="auto"/>
        <w:jc w:val="both"/>
      </w:pPr>
      <w:r>
        <w:rPr>
          <w:color w:val="222222"/>
        </w:rPr>
        <w:t>Comment automatiser, à partir des flux vidéo que l'État s'engage à déployer, la détection d'infractions routières et le contrôle des points stratégiques (villes, frontières), à un coût soutenable pour un pays à ressources limitées, sans dépendre exclusivement d'une solution propriétaire importée et en conservant une maîtrise nationale de la chaîne technique ?</w:t>
      </w:r>
    </w:p>
    <w:tbl>
      <w:tblPr>
        <w:tblW w:w="5000" w:type="pct"/>
        <w:tblBorders>
          <w:top w:val="single" w:sz="6" w:space="0" w:color="6C5CA6"/>
          <w:left w:val="single" w:sz="24" w:space="0" w:color="6C5CA6"/>
          <w:bottom w:val="single" w:sz="6" w:space="0" w:color="6C5CA6"/>
          <w:right w:val="single" w:sz="6" w:space="0" w:color="6C5CA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789ECEDD" w14:textId="77777777">
        <w:tblPrEx>
          <w:tblCellMar>
            <w:top w:w="0" w:type="dxa"/>
            <w:bottom w:w="0" w:type="dxa"/>
          </w:tblCellMar>
        </w:tblPrEx>
        <w:tc>
          <w:tcPr>
            <w:tcW w:w="0" w:type="auto"/>
            <w:shd w:val="clear" w:color="auto" w:fill="EFEAFB"/>
            <w:tcMar>
              <w:top w:w="160" w:type="dxa"/>
              <w:left w:w="220" w:type="dxa"/>
              <w:bottom w:w="160" w:type="dxa"/>
              <w:right w:w="220" w:type="dxa"/>
            </w:tcMar>
          </w:tcPr>
          <w:p w14:paraId="1627E3BB" w14:textId="58D1C0E4" w:rsidR="009866CF" w:rsidRDefault="00000000">
            <w:pPr>
              <w:spacing w:after="100"/>
            </w:pPr>
            <w:r>
              <w:rPr>
                <w:b/>
                <w:bCs/>
                <w:color w:val="1B2340"/>
                <w:sz w:val="21"/>
                <w:szCs w:val="21"/>
              </w:rPr>
              <w:t xml:space="preserve">✦ À RETENIR </w:t>
            </w:r>
            <w:r w:rsidR="00D0019B">
              <w:rPr>
                <w:b/>
                <w:bCs/>
                <w:color w:val="1B2340"/>
                <w:sz w:val="21"/>
                <w:szCs w:val="21"/>
              </w:rPr>
              <w:t>-</w:t>
            </w:r>
            <w:r>
              <w:rPr>
                <w:b/>
                <w:bCs/>
                <w:color w:val="1B2340"/>
                <w:sz w:val="21"/>
                <w:szCs w:val="21"/>
              </w:rPr>
              <w:t xml:space="preserve"> Pourquoi ce projet est stratégique</w:t>
            </w:r>
          </w:p>
          <w:p w14:paraId="13583A74" w14:textId="77777777" w:rsidR="009866CF" w:rsidRDefault="00000000">
            <w:pPr>
              <w:pStyle w:val="Paragraphedeliste"/>
              <w:numPr>
                <w:ilvl w:val="0"/>
                <w:numId w:val="1"/>
              </w:numPr>
              <w:spacing w:after="60"/>
            </w:pPr>
            <w:r>
              <w:rPr>
                <w:color w:val="222222"/>
                <w:sz w:val="20"/>
                <w:szCs w:val="20"/>
              </w:rPr>
              <w:t>Le financement existe déjà et est budgétairement acté (pas une hypothèse de recherche).</w:t>
            </w:r>
          </w:p>
          <w:p w14:paraId="3AC72C7D" w14:textId="77777777" w:rsidR="009866CF" w:rsidRDefault="00000000">
            <w:pPr>
              <w:pStyle w:val="Paragraphedeliste"/>
              <w:numPr>
                <w:ilvl w:val="0"/>
                <w:numId w:val="1"/>
              </w:numPr>
              <w:spacing w:after="60"/>
            </w:pPr>
            <w:r>
              <w:rPr>
                <w:color w:val="222222"/>
                <w:sz w:val="20"/>
                <w:szCs w:val="20"/>
              </w:rPr>
              <w:t>L'enjeu dépasse la technique : souveraineté numérique et maîtrise nationale de la chaîne IA.</w:t>
            </w:r>
          </w:p>
          <w:p w14:paraId="060281AB" w14:textId="77777777" w:rsidR="009866CF" w:rsidRDefault="00000000">
            <w:pPr>
              <w:pStyle w:val="Paragraphedeliste"/>
              <w:numPr>
                <w:ilvl w:val="0"/>
                <w:numId w:val="1"/>
              </w:numPr>
              <w:spacing w:after="60"/>
            </w:pPr>
            <w:r>
              <w:rPr>
                <w:color w:val="222222"/>
                <w:sz w:val="20"/>
                <w:szCs w:val="20"/>
              </w:rPr>
              <w:t>Le calendrier politique (2026) crée une fenêtre d'opportunité rare pour un appui académique.</w:t>
            </w:r>
          </w:p>
          <w:p w14:paraId="293530D3" w14:textId="77777777" w:rsidR="009866CF" w:rsidRDefault="00000000">
            <w:pPr>
              <w:pStyle w:val="Paragraphedeliste"/>
              <w:numPr>
                <w:ilvl w:val="0"/>
                <w:numId w:val="1"/>
              </w:numPr>
              <w:spacing w:after="60"/>
            </w:pPr>
            <w:r>
              <w:rPr>
                <w:color w:val="222222"/>
                <w:sz w:val="20"/>
                <w:szCs w:val="20"/>
              </w:rPr>
              <w:t>Le sujet touche trois piliers à la fois : sécurité routière, sécurité des frontières, gestion de catastrophes.</w:t>
            </w:r>
          </w:p>
        </w:tc>
      </w:tr>
    </w:tbl>
    <w:p w14:paraId="7F72E7AC" w14:textId="77777777" w:rsidR="009866CF" w:rsidRDefault="00000000">
      <w:pPr>
        <w:pStyle w:val="Titre2"/>
        <w:spacing w:before="320" w:after="160"/>
      </w:pPr>
      <w:bookmarkStart w:id="4" w:name="_Toc235776280"/>
      <w:r>
        <w:rPr>
          <w:rFonts w:ascii="Georgia" w:eastAsia="Georgia" w:hAnsi="Georgia" w:cs="Georgia"/>
          <w:b/>
          <w:bCs/>
          <w:color w:val="2E3A66"/>
        </w:rPr>
        <w:t>1.3 Objectifs du projet</w:t>
      </w:r>
      <w:bookmarkEnd w:id="4"/>
    </w:p>
    <w:p w14:paraId="762EA732" w14:textId="77777777" w:rsidR="009866CF" w:rsidRDefault="00000000">
      <w:pPr>
        <w:pStyle w:val="Titre3"/>
        <w:spacing w:before="240" w:after="120"/>
      </w:pPr>
      <w:bookmarkStart w:id="5" w:name="_Toc235776281"/>
      <w:r>
        <w:rPr>
          <w:b/>
          <w:bCs/>
          <w:color w:val="6C5CA6"/>
          <w:sz w:val="22"/>
          <w:szCs w:val="22"/>
        </w:rPr>
        <w:t>Objectif général</w:t>
      </w:r>
      <w:bookmarkEnd w:id="5"/>
    </w:p>
    <w:p w14:paraId="76D110C9" w14:textId="77777777" w:rsidR="009866CF" w:rsidRDefault="00000000">
      <w:pPr>
        <w:spacing w:after="160" w:line="288" w:lineRule="auto"/>
        <w:jc w:val="both"/>
      </w:pPr>
      <w:r>
        <w:rPr>
          <w:color w:val="222222"/>
        </w:rPr>
        <w:t>Concevoir et valider, sur données publiques, un pipeline de vision par ordinateur capable de détecter un véhicule, de suivre sa trajectoire, de lire automatiquement sa plaque d'immatriculation et de qualifier une infraction simple à partir d'un flux vidéo fixe de type caméra de rue, en vue d'alimenter un futur système de vidéo-verbalisation.</w:t>
      </w:r>
    </w:p>
    <w:p w14:paraId="4D7DF750" w14:textId="77777777" w:rsidR="009866CF" w:rsidRDefault="00000000">
      <w:pPr>
        <w:pStyle w:val="Titre3"/>
        <w:spacing w:before="240" w:after="120"/>
      </w:pPr>
      <w:bookmarkStart w:id="6" w:name="_Toc235776282"/>
      <w:r>
        <w:rPr>
          <w:b/>
          <w:bCs/>
          <w:color w:val="6C5CA6"/>
          <w:sz w:val="22"/>
          <w:szCs w:val="22"/>
        </w:rPr>
        <w:t>Objectifs spécifiques</w:t>
      </w:r>
      <w:bookmarkEnd w:id="6"/>
    </w:p>
    <w:p w14:paraId="7485A17C" w14:textId="77777777" w:rsidR="009866CF" w:rsidRDefault="00000000">
      <w:pPr>
        <w:pStyle w:val="Paragraphedeliste"/>
        <w:numPr>
          <w:ilvl w:val="0"/>
          <w:numId w:val="1"/>
        </w:numPr>
        <w:spacing w:after="100" w:line="276" w:lineRule="auto"/>
      </w:pPr>
      <w:r>
        <w:t xml:space="preserve">Détecter et suivre les véhicules dans un flux vidéo (détection d'objets + </w:t>
      </w:r>
      <w:proofErr w:type="spellStart"/>
      <w:r>
        <w:t>tracking</w:t>
      </w:r>
      <w:proofErr w:type="spellEnd"/>
      <w:r>
        <w:t xml:space="preserve"> multi-objets).</w:t>
      </w:r>
    </w:p>
    <w:p w14:paraId="459101B1" w14:textId="501D5EC5" w:rsidR="009866CF" w:rsidRDefault="00000000">
      <w:pPr>
        <w:pStyle w:val="Paragraphedeliste"/>
        <w:numPr>
          <w:ilvl w:val="0"/>
          <w:numId w:val="1"/>
        </w:numPr>
        <w:spacing w:after="100" w:line="276" w:lineRule="auto"/>
      </w:pPr>
      <w:r>
        <w:t xml:space="preserve">Détecter la zone de plaque d'immatriculation puis en extraire le texte (ANPR </w:t>
      </w:r>
      <w:r w:rsidR="00D0019B">
        <w:t>-</w:t>
      </w:r>
      <w:r>
        <w:t xml:space="preserve"> </w:t>
      </w:r>
      <w:proofErr w:type="spellStart"/>
      <w:r>
        <w:t>Automatic</w:t>
      </w:r>
      <w:proofErr w:type="spellEnd"/>
      <w:r>
        <w:t xml:space="preserve"> Number Plate Recognition).</w:t>
      </w:r>
    </w:p>
    <w:p w14:paraId="66FAAFA7" w14:textId="77777777" w:rsidR="009866CF" w:rsidRDefault="00000000">
      <w:pPr>
        <w:pStyle w:val="Paragraphedeliste"/>
        <w:numPr>
          <w:ilvl w:val="0"/>
          <w:numId w:val="1"/>
        </w:numPr>
        <w:spacing w:after="100" w:line="276" w:lineRule="auto"/>
      </w:pPr>
      <w:r>
        <w:t>Qualifier une infraction simple à partir de règles métier (franchissement de ligne, zone interdite, estimation de vitesse par changement de position inter-frames).</w:t>
      </w:r>
    </w:p>
    <w:p w14:paraId="3A317708" w14:textId="77777777" w:rsidR="009866CF" w:rsidRDefault="00000000">
      <w:pPr>
        <w:pStyle w:val="Paragraphedeliste"/>
        <w:numPr>
          <w:ilvl w:val="0"/>
          <w:numId w:val="1"/>
        </w:numPr>
        <w:spacing w:after="100" w:line="276" w:lineRule="auto"/>
      </w:pPr>
      <w:r>
        <w:t>Évaluer la robustesse du pipeline dans des conditions proches du contexte béninois (forte densité de deux-roues, luminosité variable, poussière).</w:t>
      </w:r>
    </w:p>
    <w:p w14:paraId="16B02DD3" w14:textId="77777777" w:rsidR="009866CF" w:rsidRDefault="00000000">
      <w:pPr>
        <w:pStyle w:val="Titre2"/>
        <w:spacing w:before="320" w:after="160"/>
      </w:pPr>
      <w:bookmarkStart w:id="7" w:name="_Toc235776283"/>
      <w:r>
        <w:rPr>
          <w:rFonts w:ascii="Georgia" w:eastAsia="Georgia" w:hAnsi="Georgia" w:cs="Georgia"/>
          <w:b/>
          <w:bCs/>
          <w:color w:val="2E3A66"/>
        </w:rPr>
        <w:t>1.4 Données mobilisables pour le POC</w:t>
      </w:r>
      <w:bookmarkEnd w:id="7"/>
    </w:p>
    <w:p w14:paraId="7FDAA8CD" w14:textId="77777777" w:rsidR="009866CF" w:rsidRDefault="00000000">
      <w:pPr>
        <w:spacing w:after="160" w:line="288" w:lineRule="auto"/>
        <w:jc w:val="both"/>
      </w:pPr>
      <w:r>
        <w:rPr>
          <w:color w:val="222222"/>
        </w:rPr>
        <w:t>Les jeux de données suivants sont publics, documentés et directement exploitables pour démarrer le développement sans attendre l'accès aux données administratives béninoises :</w:t>
      </w: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1600"/>
        <w:gridCol w:w="3200"/>
        <w:gridCol w:w="1950"/>
      </w:tblGrid>
      <w:tr w:rsidR="009866CF" w14:paraId="44434CF5" w14:textId="77777777">
        <w:tblPrEx>
          <w:tblCellMar>
            <w:top w:w="0" w:type="dxa"/>
            <w:bottom w:w="0" w:type="dxa"/>
          </w:tblCellMar>
        </w:tblPrEx>
        <w:trPr>
          <w:tblHeader/>
        </w:trPr>
        <w:tc>
          <w:tcPr>
            <w:tcW w:w="2600" w:type="dxa"/>
            <w:shd w:val="clear" w:color="auto" w:fill="1B2340"/>
            <w:tcMar>
              <w:top w:w="100" w:type="dxa"/>
              <w:left w:w="120" w:type="dxa"/>
              <w:bottom w:w="100" w:type="dxa"/>
              <w:right w:w="120" w:type="dxa"/>
            </w:tcMar>
            <w:vAlign w:val="center"/>
          </w:tcPr>
          <w:p w14:paraId="028AC6AC" w14:textId="77777777" w:rsidR="009866CF" w:rsidRDefault="00000000">
            <w:r>
              <w:rPr>
                <w:b/>
                <w:bCs/>
                <w:color w:val="FFFFFF"/>
                <w:sz w:val="19"/>
                <w:szCs w:val="19"/>
              </w:rPr>
              <w:t>Jeu de données</w:t>
            </w:r>
          </w:p>
        </w:tc>
        <w:tc>
          <w:tcPr>
            <w:tcW w:w="1600" w:type="dxa"/>
            <w:shd w:val="clear" w:color="auto" w:fill="1B2340"/>
            <w:tcMar>
              <w:top w:w="100" w:type="dxa"/>
              <w:left w:w="120" w:type="dxa"/>
              <w:bottom w:w="100" w:type="dxa"/>
              <w:right w:w="120" w:type="dxa"/>
            </w:tcMar>
            <w:vAlign w:val="center"/>
          </w:tcPr>
          <w:p w14:paraId="20F47440" w14:textId="77777777" w:rsidR="009866CF" w:rsidRDefault="00000000">
            <w:r>
              <w:rPr>
                <w:b/>
                <w:bCs/>
                <w:color w:val="FFFFFF"/>
                <w:sz w:val="19"/>
                <w:szCs w:val="19"/>
              </w:rPr>
              <w:t>Origine</w:t>
            </w:r>
          </w:p>
        </w:tc>
        <w:tc>
          <w:tcPr>
            <w:tcW w:w="3200" w:type="dxa"/>
            <w:shd w:val="clear" w:color="auto" w:fill="1B2340"/>
            <w:tcMar>
              <w:top w:w="100" w:type="dxa"/>
              <w:left w:w="120" w:type="dxa"/>
              <w:bottom w:w="100" w:type="dxa"/>
              <w:right w:w="120" w:type="dxa"/>
            </w:tcMar>
            <w:vAlign w:val="center"/>
          </w:tcPr>
          <w:p w14:paraId="5D1C84D5" w14:textId="77777777" w:rsidR="009866CF" w:rsidRDefault="00000000">
            <w:r>
              <w:rPr>
                <w:b/>
                <w:bCs/>
                <w:color w:val="FFFFFF"/>
                <w:sz w:val="19"/>
                <w:szCs w:val="19"/>
              </w:rPr>
              <w:t>Description</w:t>
            </w:r>
          </w:p>
        </w:tc>
        <w:tc>
          <w:tcPr>
            <w:tcW w:w="1950" w:type="dxa"/>
            <w:shd w:val="clear" w:color="auto" w:fill="1B2340"/>
            <w:tcMar>
              <w:top w:w="100" w:type="dxa"/>
              <w:left w:w="120" w:type="dxa"/>
              <w:bottom w:w="100" w:type="dxa"/>
              <w:right w:w="120" w:type="dxa"/>
            </w:tcMar>
            <w:vAlign w:val="center"/>
          </w:tcPr>
          <w:p w14:paraId="2A20B818" w14:textId="77777777" w:rsidR="009866CF" w:rsidRDefault="00000000">
            <w:r>
              <w:rPr>
                <w:b/>
                <w:bCs/>
                <w:color w:val="FFFFFF"/>
                <w:sz w:val="19"/>
                <w:szCs w:val="19"/>
              </w:rPr>
              <w:t>Intérêt pour le POC</w:t>
            </w:r>
          </w:p>
        </w:tc>
      </w:tr>
      <w:tr w:rsidR="009866CF" w14:paraId="03635C6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4EC1D7B" w14:textId="77777777" w:rsidR="009866CF" w:rsidRDefault="00000000">
            <w:r>
              <w:rPr>
                <w:sz w:val="18"/>
                <w:szCs w:val="18"/>
              </w:rPr>
              <w:t xml:space="preserve">License Plate </w:t>
            </w:r>
            <w:proofErr w:type="spellStart"/>
            <w:r>
              <w:rPr>
                <w:sz w:val="18"/>
                <w:szCs w:val="18"/>
              </w:rPr>
              <w:t>Detection</w:t>
            </w:r>
            <w:proofErr w:type="spellEnd"/>
            <w:r>
              <w:rPr>
                <w:sz w:val="18"/>
                <w:szCs w:val="18"/>
              </w:rPr>
              <w:t xml:space="preserve"> </w:t>
            </w:r>
            <w:proofErr w:type="spellStart"/>
            <w:r>
              <w:rPr>
                <w:sz w:val="18"/>
                <w:szCs w:val="18"/>
              </w:rPr>
              <w:t>Dataset</w:t>
            </w:r>
            <w:proofErr w:type="spellEnd"/>
          </w:p>
        </w:tc>
        <w:tc>
          <w:tcPr>
            <w:tcW w:w="1600" w:type="dxa"/>
            <w:shd w:val="clear" w:color="auto" w:fill="FFFFFF"/>
            <w:tcMar>
              <w:top w:w="90" w:type="dxa"/>
              <w:left w:w="120" w:type="dxa"/>
              <w:bottom w:w="90" w:type="dxa"/>
              <w:right w:w="120" w:type="dxa"/>
            </w:tcMar>
            <w:vAlign w:val="center"/>
          </w:tcPr>
          <w:p w14:paraId="5133E6A7" w14:textId="77777777" w:rsidR="009866CF" w:rsidRDefault="00000000">
            <w:proofErr w:type="spellStart"/>
            <w:r>
              <w:rPr>
                <w:sz w:val="18"/>
                <w:szCs w:val="18"/>
              </w:rPr>
              <w:t>Kaggle</w:t>
            </w:r>
            <w:proofErr w:type="spellEnd"/>
            <w:r>
              <w:rPr>
                <w:sz w:val="18"/>
                <w:szCs w:val="18"/>
              </w:rPr>
              <w:t xml:space="preserve"> / </w:t>
            </w:r>
            <w:proofErr w:type="spellStart"/>
            <w:r>
              <w:rPr>
                <w:sz w:val="18"/>
                <w:szCs w:val="18"/>
              </w:rPr>
              <w:t>Roboflow</w:t>
            </w:r>
            <w:proofErr w:type="spellEnd"/>
          </w:p>
        </w:tc>
        <w:tc>
          <w:tcPr>
            <w:tcW w:w="3200" w:type="dxa"/>
            <w:shd w:val="clear" w:color="auto" w:fill="FFFFFF"/>
            <w:tcMar>
              <w:top w:w="90" w:type="dxa"/>
              <w:left w:w="120" w:type="dxa"/>
              <w:bottom w:w="90" w:type="dxa"/>
              <w:right w:w="120" w:type="dxa"/>
            </w:tcMar>
            <w:vAlign w:val="center"/>
          </w:tcPr>
          <w:p w14:paraId="4F246EE2" w14:textId="77777777" w:rsidR="009866CF" w:rsidRDefault="00000000">
            <w:r>
              <w:rPr>
                <w:sz w:val="18"/>
                <w:szCs w:val="18"/>
              </w:rPr>
              <w:t>10 125 images annotées, formats YOLO (v5-v11) et COCO</w:t>
            </w:r>
          </w:p>
        </w:tc>
        <w:tc>
          <w:tcPr>
            <w:tcW w:w="1950" w:type="dxa"/>
            <w:shd w:val="clear" w:color="auto" w:fill="FFFFFF"/>
            <w:tcMar>
              <w:top w:w="90" w:type="dxa"/>
              <w:left w:w="120" w:type="dxa"/>
              <w:bottom w:w="90" w:type="dxa"/>
              <w:right w:w="120" w:type="dxa"/>
            </w:tcMar>
            <w:vAlign w:val="center"/>
          </w:tcPr>
          <w:p w14:paraId="43BEA240" w14:textId="77777777" w:rsidR="009866CF" w:rsidRDefault="00000000">
            <w:r>
              <w:rPr>
                <w:sz w:val="18"/>
                <w:szCs w:val="18"/>
              </w:rPr>
              <w:t>Volume important pour l'entraînement d'un détecteur</w:t>
            </w:r>
          </w:p>
        </w:tc>
      </w:tr>
      <w:tr w:rsidR="009866CF" w14:paraId="2055BCD6"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5DC8528" w14:textId="77777777" w:rsidR="009866CF" w:rsidRDefault="00000000">
            <w:r>
              <w:rPr>
                <w:sz w:val="18"/>
                <w:szCs w:val="18"/>
              </w:rPr>
              <w:t xml:space="preserve">Car License Plate </w:t>
            </w:r>
            <w:proofErr w:type="spellStart"/>
            <w:r>
              <w:rPr>
                <w:sz w:val="18"/>
                <w:szCs w:val="18"/>
              </w:rPr>
              <w:t>Detection</w:t>
            </w:r>
            <w:proofErr w:type="spellEnd"/>
          </w:p>
        </w:tc>
        <w:tc>
          <w:tcPr>
            <w:tcW w:w="1600" w:type="dxa"/>
            <w:shd w:val="clear" w:color="auto" w:fill="F2F2F2"/>
            <w:tcMar>
              <w:top w:w="90" w:type="dxa"/>
              <w:left w:w="120" w:type="dxa"/>
              <w:bottom w:w="90" w:type="dxa"/>
              <w:right w:w="120" w:type="dxa"/>
            </w:tcMar>
            <w:vAlign w:val="center"/>
          </w:tcPr>
          <w:p w14:paraId="47ED09AD" w14:textId="77777777" w:rsidR="009866CF" w:rsidRDefault="00000000">
            <w:proofErr w:type="spellStart"/>
            <w:r>
              <w:rPr>
                <w:sz w:val="18"/>
                <w:szCs w:val="18"/>
              </w:rPr>
              <w:t>Kaggle</w:t>
            </w:r>
            <w:proofErr w:type="spellEnd"/>
            <w:r>
              <w:rPr>
                <w:sz w:val="18"/>
                <w:szCs w:val="18"/>
              </w:rPr>
              <w:t xml:space="preserve"> (</w:t>
            </w:r>
            <w:proofErr w:type="spellStart"/>
            <w:r>
              <w:rPr>
                <w:sz w:val="18"/>
                <w:szCs w:val="18"/>
              </w:rPr>
              <w:t>Larxel</w:t>
            </w:r>
            <w:proofErr w:type="spellEnd"/>
            <w:r>
              <w:rPr>
                <w:sz w:val="18"/>
                <w:szCs w:val="18"/>
              </w:rPr>
              <w:t>)</w:t>
            </w:r>
          </w:p>
        </w:tc>
        <w:tc>
          <w:tcPr>
            <w:tcW w:w="3200" w:type="dxa"/>
            <w:shd w:val="clear" w:color="auto" w:fill="F2F2F2"/>
            <w:tcMar>
              <w:top w:w="90" w:type="dxa"/>
              <w:left w:w="120" w:type="dxa"/>
              <w:bottom w:w="90" w:type="dxa"/>
              <w:right w:w="120" w:type="dxa"/>
            </w:tcMar>
            <w:vAlign w:val="center"/>
          </w:tcPr>
          <w:p w14:paraId="6B9909E3" w14:textId="77777777" w:rsidR="009866CF" w:rsidRDefault="00000000">
            <w:r>
              <w:rPr>
                <w:sz w:val="18"/>
                <w:szCs w:val="18"/>
              </w:rPr>
              <w:t>433 images, format PASCAL VOC</w:t>
            </w:r>
          </w:p>
        </w:tc>
        <w:tc>
          <w:tcPr>
            <w:tcW w:w="1950" w:type="dxa"/>
            <w:shd w:val="clear" w:color="auto" w:fill="F2F2F2"/>
            <w:tcMar>
              <w:top w:w="90" w:type="dxa"/>
              <w:left w:w="120" w:type="dxa"/>
              <w:bottom w:w="90" w:type="dxa"/>
              <w:right w:w="120" w:type="dxa"/>
            </w:tcMar>
            <w:vAlign w:val="center"/>
          </w:tcPr>
          <w:p w14:paraId="691D33B6" w14:textId="77777777" w:rsidR="009866CF" w:rsidRDefault="00000000">
            <w:r>
              <w:rPr>
                <w:sz w:val="18"/>
                <w:szCs w:val="18"/>
              </w:rPr>
              <w:t>Jeu compact pour un premier prototype</w:t>
            </w:r>
          </w:p>
        </w:tc>
      </w:tr>
      <w:tr w:rsidR="009866CF" w14:paraId="776DC28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43A30EA" w14:textId="77777777" w:rsidR="009866CF" w:rsidRPr="00D0019B" w:rsidRDefault="00000000">
            <w:pPr>
              <w:rPr>
                <w:lang w:val="en-US"/>
              </w:rPr>
            </w:pPr>
            <w:r w:rsidRPr="00D0019B">
              <w:rPr>
                <w:sz w:val="18"/>
                <w:szCs w:val="18"/>
                <w:lang w:val="en-US"/>
              </w:rPr>
              <w:t>LPR for Red-Light Violation</w:t>
            </w:r>
          </w:p>
        </w:tc>
        <w:tc>
          <w:tcPr>
            <w:tcW w:w="1600" w:type="dxa"/>
            <w:shd w:val="clear" w:color="auto" w:fill="FFFFFF"/>
            <w:tcMar>
              <w:top w:w="90" w:type="dxa"/>
              <w:left w:w="120" w:type="dxa"/>
              <w:bottom w:w="90" w:type="dxa"/>
              <w:right w:w="120" w:type="dxa"/>
            </w:tcMar>
            <w:vAlign w:val="center"/>
          </w:tcPr>
          <w:p w14:paraId="17734C50" w14:textId="77777777" w:rsidR="009866CF" w:rsidRDefault="00000000">
            <w:proofErr w:type="spellStart"/>
            <w:r>
              <w:rPr>
                <w:sz w:val="18"/>
                <w:szCs w:val="18"/>
              </w:rPr>
              <w:t>Kaggle</w:t>
            </w:r>
            <w:proofErr w:type="spellEnd"/>
          </w:p>
        </w:tc>
        <w:tc>
          <w:tcPr>
            <w:tcW w:w="3200" w:type="dxa"/>
            <w:shd w:val="clear" w:color="auto" w:fill="FFFFFF"/>
            <w:tcMar>
              <w:top w:w="90" w:type="dxa"/>
              <w:left w:w="120" w:type="dxa"/>
              <w:bottom w:w="90" w:type="dxa"/>
              <w:right w:w="120" w:type="dxa"/>
            </w:tcMar>
            <w:vAlign w:val="center"/>
          </w:tcPr>
          <w:p w14:paraId="3D436198" w14:textId="77777777" w:rsidR="009866CF" w:rsidRDefault="00000000">
            <w:r>
              <w:rPr>
                <w:sz w:val="18"/>
                <w:szCs w:val="18"/>
              </w:rPr>
              <w:t>Détection d'infraction au feu rouge + reconnaissance de plaque</w:t>
            </w:r>
          </w:p>
        </w:tc>
        <w:tc>
          <w:tcPr>
            <w:tcW w:w="1950" w:type="dxa"/>
            <w:shd w:val="clear" w:color="auto" w:fill="FFFFFF"/>
            <w:tcMar>
              <w:top w:w="90" w:type="dxa"/>
              <w:left w:w="120" w:type="dxa"/>
              <w:bottom w:w="90" w:type="dxa"/>
              <w:right w:w="120" w:type="dxa"/>
            </w:tcMar>
            <w:vAlign w:val="center"/>
          </w:tcPr>
          <w:p w14:paraId="5D03D776" w14:textId="77777777" w:rsidR="009866CF" w:rsidRDefault="00000000">
            <w:r>
              <w:rPr>
                <w:sz w:val="18"/>
                <w:szCs w:val="18"/>
              </w:rPr>
              <w:t>Cas d'usage le plus proche de la vidéo-verbalisation visée</w:t>
            </w:r>
          </w:p>
        </w:tc>
      </w:tr>
      <w:tr w:rsidR="009866CF" w14:paraId="6B952A52"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48CB9346" w14:textId="77777777" w:rsidR="009866CF" w:rsidRDefault="00000000">
            <w:proofErr w:type="spellStart"/>
            <w:r>
              <w:rPr>
                <w:sz w:val="18"/>
                <w:szCs w:val="18"/>
              </w:rPr>
              <w:t>Automatic</w:t>
            </w:r>
            <w:proofErr w:type="spellEnd"/>
            <w:r>
              <w:rPr>
                <w:sz w:val="18"/>
                <w:szCs w:val="18"/>
              </w:rPr>
              <w:t xml:space="preserve"> LPR (ALPR) </w:t>
            </w:r>
            <w:proofErr w:type="spellStart"/>
            <w:r>
              <w:rPr>
                <w:sz w:val="18"/>
                <w:szCs w:val="18"/>
              </w:rPr>
              <w:t>Dataset</w:t>
            </w:r>
            <w:proofErr w:type="spellEnd"/>
          </w:p>
        </w:tc>
        <w:tc>
          <w:tcPr>
            <w:tcW w:w="1600" w:type="dxa"/>
            <w:shd w:val="clear" w:color="auto" w:fill="F2F2F2"/>
            <w:tcMar>
              <w:top w:w="90" w:type="dxa"/>
              <w:left w:w="120" w:type="dxa"/>
              <w:bottom w:w="90" w:type="dxa"/>
              <w:right w:w="120" w:type="dxa"/>
            </w:tcMar>
            <w:vAlign w:val="center"/>
          </w:tcPr>
          <w:p w14:paraId="44DDB820" w14:textId="77777777" w:rsidR="009866CF" w:rsidRDefault="00000000">
            <w:proofErr w:type="spellStart"/>
            <w:r>
              <w:rPr>
                <w:sz w:val="18"/>
                <w:szCs w:val="18"/>
              </w:rPr>
              <w:t>Kaggle</w:t>
            </w:r>
            <w:proofErr w:type="spellEnd"/>
          </w:p>
        </w:tc>
        <w:tc>
          <w:tcPr>
            <w:tcW w:w="3200" w:type="dxa"/>
            <w:shd w:val="clear" w:color="auto" w:fill="F2F2F2"/>
            <w:tcMar>
              <w:top w:w="90" w:type="dxa"/>
              <w:left w:w="120" w:type="dxa"/>
              <w:bottom w:w="90" w:type="dxa"/>
              <w:right w:w="120" w:type="dxa"/>
            </w:tcMar>
            <w:vAlign w:val="center"/>
          </w:tcPr>
          <w:p w14:paraId="08ED7959" w14:textId="77777777" w:rsidR="009866CF" w:rsidRDefault="00000000">
            <w:r>
              <w:rPr>
                <w:sz w:val="18"/>
                <w:szCs w:val="18"/>
              </w:rPr>
              <w:t>Annotations format YOLO</w:t>
            </w:r>
          </w:p>
        </w:tc>
        <w:tc>
          <w:tcPr>
            <w:tcW w:w="1950" w:type="dxa"/>
            <w:shd w:val="clear" w:color="auto" w:fill="F2F2F2"/>
            <w:tcMar>
              <w:top w:w="90" w:type="dxa"/>
              <w:left w:w="120" w:type="dxa"/>
              <w:bottom w:w="90" w:type="dxa"/>
              <w:right w:w="120" w:type="dxa"/>
            </w:tcMar>
            <w:vAlign w:val="center"/>
          </w:tcPr>
          <w:p w14:paraId="1954F705" w14:textId="77777777" w:rsidR="009866CF" w:rsidRDefault="00000000">
            <w:r>
              <w:rPr>
                <w:sz w:val="18"/>
                <w:szCs w:val="18"/>
              </w:rPr>
              <w:t>Entraînement rapide YOLOv8/v11</w:t>
            </w:r>
          </w:p>
        </w:tc>
      </w:tr>
    </w:tbl>
    <w:p w14:paraId="54856BC5" w14:textId="77777777" w:rsidR="009866CF" w:rsidRDefault="00000000">
      <w:pPr>
        <w:spacing w:before="160" w:after="200"/>
      </w:pPr>
      <w:r>
        <w:rPr>
          <w:b/>
          <w:bCs/>
          <w:i/>
          <w:iCs/>
          <w:color w:val="8A3F5C"/>
          <w:sz w:val="20"/>
          <w:szCs w:val="20"/>
        </w:rPr>
        <w:t xml:space="preserve">Point de vigilance : </w:t>
      </w:r>
      <w:r>
        <w:rPr>
          <w:i/>
          <w:iCs/>
          <w:sz w:val="20"/>
          <w:szCs w:val="20"/>
        </w:rPr>
        <w:t>aucun de ces jeux n'est spécifique au format des plaques béninoises (alphabet, structure, forte proportion de deux-roues à Cotonou). Le POC validera la chaîne technique sur données génériques ; une collecte locale de quelques centaines d'images annotées (caméras de rue à Cotonou ou Porto-Novo) sera nécessaire pour le fine-tuning final.</w:t>
      </w:r>
    </w:p>
    <w:p w14:paraId="1D8458A2" w14:textId="77777777" w:rsidR="009866CF" w:rsidRDefault="00000000">
      <w:pPr>
        <w:pStyle w:val="Titre2"/>
        <w:spacing w:before="320" w:after="160"/>
      </w:pPr>
      <w:bookmarkStart w:id="8" w:name="_Toc235776284"/>
      <w:r>
        <w:rPr>
          <w:rFonts w:ascii="Georgia" w:eastAsia="Georgia" w:hAnsi="Georgia" w:cs="Georgia"/>
          <w:b/>
          <w:bCs/>
          <w:color w:val="2E3A66"/>
        </w:rPr>
        <w:t>1.5 Méthodologie et architecture technique proposée (vue d'ensemble)</w:t>
      </w:r>
      <w:bookmarkEnd w:id="8"/>
    </w:p>
    <w:p w14:paraId="79490030" w14:textId="0EA119C3" w:rsidR="009866CF" w:rsidRDefault="00000000">
      <w:pPr>
        <w:pStyle w:val="Paragraphedeliste"/>
        <w:numPr>
          <w:ilvl w:val="0"/>
          <w:numId w:val="1"/>
        </w:numPr>
        <w:spacing w:after="100" w:line="276" w:lineRule="auto"/>
      </w:pPr>
      <w:r>
        <w:t xml:space="preserve">Étape 1 </w:t>
      </w:r>
      <w:r w:rsidR="00DE6AAB">
        <w:t>-</w:t>
      </w:r>
      <w:r>
        <w:t xml:space="preserve"> Détection de véhicules par un modèle YOLOv8/YOLOv11 pré-entraîné sur COCO, puis fine-tuning léger.</w:t>
      </w:r>
    </w:p>
    <w:p w14:paraId="00991A44" w14:textId="480AB28B" w:rsidR="009866CF" w:rsidRDefault="00000000">
      <w:pPr>
        <w:pStyle w:val="Paragraphedeliste"/>
        <w:numPr>
          <w:ilvl w:val="0"/>
          <w:numId w:val="1"/>
        </w:numPr>
        <w:spacing w:after="100" w:line="276" w:lineRule="auto"/>
      </w:pPr>
      <w:r>
        <w:t xml:space="preserve">Étape 2 </w:t>
      </w:r>
      <w:r w:rsidR="00DE6AAB">
        <w:t>-</w:t>
      </w:r>
      <w:r>
        <w:t xml:space="preserve"> Suivi multi-objets (</w:t>
      </w:r>
      <w:proofErr w:type="spellStart"/>
      <w:r>
        <w:t>tracking</w:t>
      </w:r>
      <w:proofErr w:type="spellEnd"/>
      <w:r>
        <w:t xml:space="preserve">) par </w:t>
      </w:r>
      <w:proofErr w:type="spellStart"/>
      <w:r>
        <w:t>ByteTrack</w:t>
      </w:r>
      <w:proofErr w:type="spellEnd"/>
      <w:r>
        <w:t xml:space="preserve"> ou </w:t>
      </w:r>
      <w:proofErr w:type="spellStart"/>
      <w:r>
        <w:t>DeepSORT</w:t>
      </w:r>
      <w:proofErr w:type="spellEnd"/>
      <w:r>
        <w:t>, pour relier un même véhicule sur plusieurs images successives.</w:t>
      </w:r>
    </w:p>
    <w:p w14:paraId="0C915AAE" w14:textId="38B1FBA8" w:rsidR="009866CF" w:rsidRDefault="00000000">
      <w:pPr>
        <w:pStyle w:val="Paragraphedeliste"/>
        <w:numPr>
          <w:ilvl w:val="0"/>
          <w:numId w:val="1"/>
        </w:numPr>
        <w:spacing w:after="100" w:line="276" w:lineRule="auto"/>
      </w:pPr>
      <w:r>
        <w:t xml:space="preserve">Étape 3 </w:t>
      </w:r>
      <w:r w:rsidR="00DE6AAB">
        <w:t>-</w:t>
      </w:r>
      <w:r>
        <w:t xml:space="preserve"> Détection de la zone de plaque par un second modèle YOLO spécialisé.</w:t>
      </w:r>
    </w:p>
    <w:p w14:paraId="3F506CA0" w14:textId="4D486E2A" w:rsidR="009866CF" w:rsidRDefault="00000000">
      <w:pPr>
        <w:pStyle w:val="Paragraphedeliste"/>
        <w:numPr>
          <w:ilvl w:val="0"/>
          <w:numId w:val="1"/>
        </w:numPr>
        <w:spacing w:after="100" w:line="276" w:lineRule="auto"/>
      </w:pPr>
      <w:r>
        <w:t xml:space="preserve">Étape 4 </w:t>
      </w:r>
      <w:r w:rsidR="00DE6AAB">
        <w:t>-</w:t>
      </w:r>
      <w:r>
        <w:t xml:space="preserve"> Lecture du texte de la plaque par OCR (</w:t>
      </w:r>
      <w:proofErr w:type="spellStart"/>
      <w:r>
        <w:t>EasyOCR</w:t>
      </w:r>
      <w:proofErr w:type="spellEnd"/>
      <w:r>
        <w:t xml:space="preserve"> ou </w:t>
      </w:r>
      <w:proofErr w:type="spellStart"/>
      <w:r>
        <w:t>PaddleOCR</w:t>
      </w:r>
      <w:proofErr w:type="spellEnd"/>
      <w:r>
        <w:t>), avec post-traitement par règles.</w:t>
      </w:r>
    </w:p>
    <w:p w14:paraId="0B6409F0" w14:textId="0227194B" w:rsidR="009866CF" w:rsidRDefault="00000000">
      <w:pPr>
        <w:pStyle w:val="Paragraphedeliste"/>
        <w:numPr>
          <w:ilvl w:val="0"/>
          <w:numId w:val="1"/>
        </w:numPr>
        <w:spacing w:after="100" w:line="276" w:lineRule="auto"/>
      </w:pPr>
      <w:r>
        <w:t xml:space="preserve">Étape 5 </w:t>
      </w:r>
      <w:r w:rsidR="00DE6AAB">
        <w:t>-</w:t>
      </w:r>
      <w:r>
        <w:t xml:space="preserve"> Application d'une règle métier simple (franchissement de ligne virtuelle, zone interdite) pour qualifier une infraction.</w:t>
      </w:r>
    </w:p>
    <w:p w14:paraId="17DDE2DA" w14:textId="336EF53B" w:rsidR="009866CF" w:rsidRDefault="00000000">
      <w:pPr>
        <w:pStyle w:val="Paragraphedeliste"/>
        <w:numPr>
          <w:ilvl w:val="0"/>
          <w:numId w:val="1"/>
        </w:numPr>
        <w:spacing w:after="100" w:line="276" w:lineRule="auto"/>
      </w:pPr>
      <w:r>
        <w:t xml:space="preserve">Étape 6 </w:t>
      </w:r>
      <w:r w:rsidR="00DE6AAB">
        <w:t>-</w:t>
      </w:r>
      <w:r>
        <w:t xml:space="preserve"> Restitution dans un tableau de bord : horodatage, image preuve, plaque lue, type d'infraction estimé.</w:t>
      </w:r>
    </w:p>
    <w:p w14:paraId="3654948C" w14:textId="1B6611DD" w:rsidR="009866CF" w:rsidRDefault="00000000">
      <w:pPr>
        <w:spacing w:after="160" w:line="288" w:lineRule="auto"/>
        <w:jc w:val="both"/>
      </w:pPr>
      <w:r>
        <w:rPr>
          <w:color w:val="222222"/>
        </w:rPr>
        <w:t xml:space="preserve">Les sections suivantes de ce document détaillent, à partir de la littérature scientifique, chacune de ces briques technologiques en particulier l'ANPR (section 2) et </w:t>
      </w:r>
      <w:proofErr w:type="gramStart"/>
      <w:r>
        <w:rPr>
          <w:color w:val="222222"/>
        </w:rPr>
        <w:t>la</w:t>
      </w:r>
      <w:proofErr w:type="gramEnd"/>
      <w:r>
        <w:rPr>
          <w:color w:val="222222"/>
        </w:rPr>
        <w:t xml:space="preserve"> détection/suivi de véhicules par YOLOv8 + </w:t>
      </w:r>
      <w:proofErr w:type="spellStart"/>
      <w:r>
        <w:rPr>
          <w:color w:val="222222"/>
        </w:rPr>
        <w:t>DeepSORT</w:t>
      </w:r>
      <w:proofErr w:type="spellEnd"/>
      <w:r>
        <w:rPr>
          <w:color w:val="222222"/>
        </w:rPr>
        <w:t xml:space="preserve"> (section 3) afin de construire une maîtrise rigoureuse et pas seulement opérationnelle du sujet.</w:t>
      </w:r>
    </w:p>
    <w:p w14:paraId="65D3800C" w14:textId="77777777" w:rsidR="009866CF" w:rsidRDefault="00000000">
      <w:pPr>
        <w:pStyle w:val="Titre2"/>
        <w:spacing w:before="320" w:after="160"/>
      </w:pPr>
      <w:bookmarkStart w:id="9" w:name="_Toc235776285"/>
      <w:r>
        <w:rPr>
          <w:rFonts w:ascii="Georgia" w:eastAsia="Georgia" w:hAnsi="Georgia" w:cs="Georgia"/>
          <w:b/>
          <w:bCs/>
          <w:color w:val="2E3A66"/>
        </w:rPr>
        <w:t>1.6 Limites, risques et points de vigilance</w:t>
      </w:r>
      <w:bookmarkEnd w:id="9"/>
    </w:p>
    <w:p w14:paraId="7DE4273E" w14:textId="77777777" w:rsidR="009866CF" w:rsidRDefault="00000000">
      <w:pPr>
        <w:spacing w:after="160" w:line="288" w:lineRule="auto"/>
        <w:jc w:val="both"/>
      </w:pPr>
      <w:r>
        <w:rPr>
          <w:color w:val="222222"/>
        </w:rPr>
        <w:t>La plaque d'immatriculation constitue une donnée à caractère personnel : tout passage du POC académique à un déploiement réel suppose un cadre juridique explicite, validé par l'Autorité de Protection des Données Personnelles du Bénin. La forte proportion de deux-roues, souvent sans plaque normalisée ou visible, est un angle mort des jeux de données actuels et devra être traitée par une collecte spécifique de terrain.</w:t>
      </w:r>
    </w:p>
    <w:p w14:paraId="34C28264" w14:textId="4CC64975" w:rsidR="009866CF" w:rsidRDefault="00000000">
      <w:pPr>
        <w:pStyle w:val="Titre1"/>
        <w:pBdr>
          <w:bottom w:val="single" w:sz="12" w:space="6" w:color="6C5CA6"/>
        </w:pBdr>
        <w:spacing w:before="480" w:after="240"/>
      </w:pPr>
      <w:bookmarkStart w:id="10" w:name="_Toc235776286"/>
      <w:r>
        <w:rPr>
          <w:rFonts w:ascii="Georgia" w:eastAsia="Georgia" w:hAnsi="Georgia" w:cs="Georgia"/>
          <w:b/>
          <w:bCs/>
          <w:color w:val="1B2340"/>
        </w:rPr>
        <w:t>2. Fondements scientifiques de la reconnaissance automatique de plaques (ANP</w:t>
      </w:r>
      <w:bookmarkEnd w:id="10"/>
      <w:r w:rsidR="00F2428C">
        <w:rPr>
          <w:rFonts w:ascii="Georgia" w:eastAsia="Georgia" w:hAnsi="Georgia" w:cs="Georgia"/>
          <w:b/>
          <w:bCs/>
          <w:color w:val="1B2340"/>
        </w:rPr>
        <w:t>)</w:t>
      </w:r>
      <w:r w:rsidR="00387F52">
        <w:rPr>
          <w:rFonts w:ascii="Georgia" w:eastAsia="Georgia" w:hAnsi="Georgia" w:cs="Georgia"/>
          <w:b/>
          <w:bCs/>
          <w:color w:val="1B2340"/>
        </w:rPr>
        <w:t xml:space="preserve"> </w:t>
      </w:r>
    </w:p>
    <w:p w14:paraId="2510FC63" w14:textId="570093EE" w:rsidR="009866CF" w:rsidRDefault="00000000">
      <w:pPr>
        <w:spacing w:after="160" w:line="288" w:lineRule="auto"/>
        <w:jc w:val="both"/>
      </w:pPr>
      <w:r>
        <w:rPr>
          <w:color w:val="222222"/>
        </w:rPr>
        <w:t xml:space="preserve">Cette section synthétise l'article de référence Lubna, Mufti &amp; Shah (2021), « </w:t>
      </w:r>
      <w:proofErr w:type="spellStart"/>
      <w:r>
        <w:rPr>
          <w:color w:val="222222"/>
        </w:rPr>
        <w:t>Automatic</w:t>
      </w:r>
      <w:proofErr w:type="spellEnd"/>
      <w:r>
        <w:rPr>
          <w:color w:val="222222"/>
        </w:rPr>
        <w:t xml:space="preserve"> Number Plate </w:t>
      </w:r>
      <w:proofErr w:type="gramStart"/>
      <w:r>
        <w:rPr>
          <w:color w:val="222222"/>
        </w:rPr>
        <w:t>Recognition:</w:t>
      </w:r>
      <w:proofErr w:type="gramEnd"/>
      <w:r>
        <w:rPr>
          <w:color w:val="222222"/>
        </w:rPr>
        <w:t xml:space="preserve"> A </w:t>
      </w:r>
      <w:proofErr w:type="spellStart"/>
      <w:r>
        <w:rPr>
          <w:color w:val="222222"/>
        </w:rPr>
        <w:t>Detailed</w:t>
      </w:r>
      <w:proofErr w:type="spellEnd"/>
      <w:r>
        <w:rPr>
          <w:color w:val="222222"/>
        </w:rPr>
        <w:t xml:space="preserve"> Survey of Relevant </w:t>
      </w:r>
      <w:proofErr w:type="spellStart"/>
      <w:r>
        <w:rPr>
          <w:color w:val="222222"/>
        </w:rPr>
        <w:t>Algorithms</w:t>
      </w:r>
      <w:proofErr w:type="spellEnd"/>
      <w:r>
        <w:rPr>
          <w:color w:val="222222"/>
        </w:rPr>
        <w:t xml:space="preserve"> », publié dans la revue </w:t>
      </w:r>
      <w:proofErr w:type="spellStart"/>
      <w:r>
        <w:rPr>
          <w:color w:val="222222"/>
        </w:rPr>
        <w:t>Sensors</w:t>
      </w:r>
      <w:proofErr w:type="spellEnd"/>
      <w:r>
        <w:rPr>
          <w:color w:val="222222"/>
        </w:rPr>
        <w:t xml:space="preserve"> (MDPI), un journal scientifique à comité de lecture reconnu en ingénierie et capteurs ce qui en fait une source fiable et citable pour notre cahier des charges technique.</w:t>
      </w:r>
    </w:p>
    <w:p w14:paraId="17AF3570" w14:textId="77777777" w:rsidR="009866CF" w:rsidRDefault="00000000">
      <w:pPr>
        <w:pStyle w:val="Titre2"/>
        <w:spacing w:before="320" w:after="160"/>
      </w:pPr>
      <w:bookmarkStart w:id="11" w:name="_Toc235776287"/>
      <w:r>
        <w:rPr>
          <w:rFonts w:ascii="Georgia" w:eastAsia="Georgia" w:hAnsi="Georgia" w:cs="Georgia"/>
          <w:b/>
          <w:bCs/>
          <w:color w:val="2E3A66"/>
        </w:rPr>
        <w:t>2.1 Qu'est-ce que l'ANPR et pourquoi est-ce le cœur du Projet 1 ?</w:t>
      </w:r>
      <w:bookmarkEnd w:id="11"/>
    </w:p>
    <w:p w14:paraId="37A1CA80" w14:textId="19B7CA39" w:rsidR="009866CF" w:rsidRDefault="00000000">
      <w:pPr>
        <w:spacing w:after="160" w:line="288" w:lineRule="auto"/>
        <w:jc w:val="both"/>
      </w:pPr>
      <w:r>
        <w:rPr>
          <w:color w:val="222222"/>
        </w:rPr>
        <w:t>L'ANPR (</w:t>
      </w:r>
      <w:proofErr w:type="spellStart"/>
      <w:r>
        <w:rPr>
          <w:color w:val="222222"/>
        </w:rPr>
        <w:t>Automatic</w:t>
      </w:r>
      <w:proofErr w:type="spellEnd"/>
      <w:r>
        <w:rPr>
          <w:color w:val="222222"/>
        </w:rPr>
        <w:t xml:space="preserve"> Number Plate Recognition), aussi appelée ALPR (</w:t>
      </w:r>
      <w:proofErr w:type="spellStart"/>
      <w:r>
        <w:rPr>
          <w:color w:val="222222"/>
        </w:rPr>
        <w:t>Automatic</w:t>
      </w:r>
      <w:proofErr w:type="spellEnd"/>
      <w:r>
        <w:rPr>
          <w:color w:val="222222"/>
        </w:rPr>
        <w:t xml:space="preserve"> License Plate Recognition), désigne l'ensemble des techniques permettant de détecter et de lire automatiquement la plaque d'immatriculation d'un véhicule à partir d'une image ou d'un flux vidéo. C'est une technologie mature, déjà utilisée dans de nombreux pays pour le contrôle d'accès, le péage, la gestion de parking, la lutte contre la fraude, la vidéo-verbalisation, et la surveillance des frontières exactement les usages visés par le Conseil des Ministres béninois.</w:t>
      </w:r>
    </w:p>
    <w:p w14:paraId="54E26EE9" w14:textId="77777777" w:rsidR="009866CF" w:rsidRDefault="00000000">
      <w:pPr>
        <w:spacing w:after="160" w:line="288" w:lineRule="auto"/>
        <w:jc w:val="both"/>
      </w:pPr>
      <w:r>
        <w:rPr>
          <w:color w:val="222222"/>
        </w:rPr>
        <w:t>Pour notre projet, comprendre l'ANPR en profondeur est essentiel car c'est la brique qui transforme une simple détection de véhicule en une preuve juridiquement exploitable (identité du véhicule + horodatage + infraction).</w:t>
      </w:r>
    </w:p>
    <w:p w14:paraId="0DC5B564" w14:textId="77777777" w:rsidR="009866CF" w:rsidRDefault="00000000">
      <w:pPr>
        <w:pStyle w:val="Titre2"/>
        <w:spacing w:before="320" w:after="160"/>
      </w:pPr>
      <w:bookmarkStart w:id="12" w:name="_Toc235776288"/>
      <w:r>
        <w:rPr>
          <w:rFonts w:ascii="Georgia" w:eastAsia="Georgia" w:hAnsi="Georgia" w:cs="Georgia"/>
          <w:b/>
          <w:bCs/>
          <w:color w:val="2E3A66"/>
        </w:rPr>
        <w:t>2.2 Le pipeline générique d'un système ANPR</w:t>
      </w:r>
      <w:bookmarkEnd w:id="12"/>
    </w:p>
    <w:p w14:paraId="74CC8183" w14:textId="146CE6D4" w:rsidR="009866CF" w:rsidRDefault="00000000">
      <w:pPr>
        <w:spacing w:after="160" w:line="288" w:lineRule="auto"/>
        <w:jc w:val="both"/>
      </w:pPr>
      <w:r>
        <w:rPr>
          <w:color w:val="222222"/>
        </w:rPr>
        <w:t>Un système ANPR classique suit quatre étapes séquentielles : (1) acquisition de l'image, (2) extraction de la plaque (Number Plate Extraction, NPE), (3)</w:t>
      </w:r>
      <w:r w:rsidR="00DE6AAB">
        <w:rPr>
          <w:color w:val="222222"/>
        </w:rPr>
        <w:t xml:space="preserve"> </w:t>
      </w:r>
      <w:r>
        <w:rPr>
          <w:color w:val="222222"/>
        </w:rPr>
        <w:t>segmentation des caractères (Character Segmentation, CS), et (4) reconnaissance des caractères (Character Recognition, CR). La performance globale du système appelée taux de réussite ou performance rate dépend de l'efficacité cumulée de ces trois stades algorithmiques.</w:t>
      </w:r>
    </w:p>
    <w:tbl>
      <w:tblPr>
        <w:tblW w:w="5000" w:type="pct"/>
        <w:tblBorders>
          <w:top w:val="single" w:sz="6" w:space="0" w:color="6C5CA6"/>
          <w:left w:val="single" w:sz="24" w:space="0" w:color="6C5CA6"/>
          <w:bottom w:val="single" w:sz="6" w:space="0" w:color="6C5CA6"/>
          <w:right w:val="single" w:sz="6" w:space="0" w:color="6C5CA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302BA62D" w14:textId="77777777">
        <w:tblPrEx>
          <w:tblCellMar>
            <w:top w:w="0" w:type="dxa"/>
            <w:bottom w:w="0" w:type="dxa"/>
          </w:tblCellMar>
        </w:tblPrEx>
        <w:tc>
          <w:tcPr>
            <w:tcW w:w="0" w:type="auto"/>
            <w:shd w:val="clear" w:color="auto" w:fill="EFEAFB"/>
            <w:tcMar>
              <w:top w:w="160" w:type="dxa"/>
              <w:left w:w="220" w:type="dxa"/>
              <w:bottom w:w="160" w:type="dxa"/>
              <w:right w:w="220" w:type="dxa"/>
            </w:tcMar>
          </w:tcPr>
          <w:p w14:paraId="649163AB" w14:textId="2187B1DB" w:rsidR="009866CF" w:rsidRDefault="00000000">
            <w:pPr>
              <w:spacing w:after="100"/>
            </w:pPr>
            <w:r>
              <w:rPr>
                <w:b/>
                <w:bCs/>
                <w:color w:val="1B2340"/>
                <w:sz w:val="21"/>
                <w:szCs w:val="21"/>
              </w:rPr>
              <w:t xml:space="preserve">✦ À RETENIR </w:t>
            </w:r>
            <w:r w:rsidR="00DE6AAB">
              <w:rPr>
                <w:b/>
                <w:bCs/>
                <w:color w:val="1B2340"/>
                <w:sz w:val="21"/>
                <w:szCs w:val="21"/>
              </w:rPr>
              <w:t>-</w:t>
            </w:r>
            <w:r>
              <w:rPr>
                <w:b/>
                <w:bCs/>
                <w:color w:val="1B2340"/>
                <w:sz w:val="21"/>
                <w:szCs w:val="21"/>
              </w:rPr>
              <w:t xml:space="preserve"> Le pipeline ANPR en 4 étapes</w:t>
            </w:r>
          </w:p>
          <w:p w14:paraId="38A9724F" w14:textId="51DA2B71" w:rsidR="009866CF" w:rsidRDefault="00000000">
            <w:pPr>
              <w:pStyle w:val="Paragraphedeliste"/>
              <w:numPr>
                <w:ilvl w:val="0"/>
                <w:numId w:val="1"/>
              </w:numPr>
              <w:spacing w:after="60"/>
            </w:pPr>
            <w:r>
              <w:rPr>
                <w:color w:val="222222"/>
                <w:sz w:val="20"/>
                <w:szCs w:val="20"/>
              </w:rPr>
              <w:t>Acquisition de l'image</w:t>
            </w:r>
            <w:r w:rsidR="00DE6AAB">
              <w:rPr>
                <w:color w:val="222222"/>
                <w:sz w:val="20"/>
                <w:szCs w:val="20"/>
              </w:rPr>
              <w:t> :</w:t>
            </w:r>
            <w:r>
              <w:rPr>
                <w:color w:val="222222"/>
                <w:sz w:val="20"/>
                <w:szCs w:val="20"/>
              </w:rPr>
              <w:t xml:space="preserve"> caméra fixe ou mobile, qualité et position déterminantes.</w:t>
            </w:r>
          </w:p>
          <w:p w14:paraId="57931CB6" w14:textId="660C2250" w:rsidR="009866CF" w:rsidRDefault="00000000">
            <w:pPr>
              <w:pStyle w:val="Paragraphedeliste"/>
              <w:numPr>
                <w:ilvl w:val="0"/>
                <w:numId w:val="1"/>
              </w:numPr>
              <w:spacing w:after="60"/>
            </w:pPr>
            <w:r>
              <w:rPr>
                <w:color w:val="222222"/>
                <w:sz w:val="20"/>
                <w:szCs w:val="20"/>
              </w:rPr>
              <w:t>Extraction de plaque (NPE)</w:t>
            </w:r>
            <w:r w:rsidR="00DE6AAB">
              <w:rPr>
                <w:color w:val="222222"/>
                <w:sz w:val="20"/>
                <w:szCs w:val="20"/>
              </w:rPr>
              <w:t> :</w:t>
            </w:r>
            <w:r>
              <w:rPr>
                <w:color w:val="222222"/>
                <w:sz w:val="20"/>
                <w:szCs w:val="20"/>
              </w:rPr>
              <w:t xml:space="preserve"> isoler la zone rectangulaire correspondant à la plaque.</w:t>
            </w:r>
          </w:p>
          <w:p w14:paraId="41C14E0E" w14:textId="36FD8EDC" w:rsidR="009866CF" w:rsidRDefault="00000000">
            <w:pPr>
              <w:pStyle w:val="Paragraphedeliste"/>
              <w:numPr>
                <w:ilvl w:val="0"/>
                <w:numId w:val="1"/>
              </w:numPr>
              <w:spacing w:after="60"/>
            </w:pPr>
            <w:r>
              <w:rPr>
                <w:color w:val="222222"/>
                <w:sz w:val="20"/>
                <w:szCs w:val="20"/>
              </w:rPr>
              <w:t>Segmentation des caractères (CS)</w:t>
            </w:r>
            <w:r w:rsidR="00DE6AAB">
              <w:rPr>
                <w:color w:val="222222"/>
                <w:sz w:val="20"/>
                <w:szCs w:val="20"/>
              </w:rPr>
              <w:t> :</w:t>
            </w:r>
            <w:r>
              <w:rPr>
                <w:color w:val="222222"/>
                <w:sz w:val="20"/>
                <w:szCs w:val="20"/>
              </w:rPr>
              <w:t xml:space="preserve"> isoler chaque caractère individuellement.</w:t>
            </w:r>
          </w:p>
          <w:p w14:paraId="2FDC440E" w14:textId="7004241A" w:rsidR="009866CF" w:rsidRDefault="00000000">
            <w:pPr>
              <w:pStyle w:val="Paragraphedeliste"/>
              <w:numPr>
                <w:ilvl w:val="0"/>
                <w:numId w:val="1"/>
              </w:numPr>
              <w:spacing w:after="60"/>
            </w:pPr>
            <w:r>
              <w:rPr>
                <w:color w:val="222222"/>
                <w:sz w:val="20"/>
                <w:szCs w:val="20"/>
              </w:rPr>
              <w:t>Reconnaissance des caractères (CR)</w:t>
            </w:r>
            <w:r w:rsidR="00DE6AAB">
              <w:rPr>
                <w:color w:val="222222"/>
                <w:sz w:val="20"/>
                <w:szCs w:val="20"/>
              </w:rPr>
              <w:t> :</w:t>
            </w:r>
            <w:r>
              <w:rPr>
                <w:color w:val="222222"/>
                <w:sz w:val="20"/>
                <w:szCs w:val="20"/>
              </w:rPr>
              <w:t xml:space="preserve"> convertir chaque caractère segmenté en texte (OCR).</w:t>
            </w:r>
          </w:p>
        </w:tc>
      </w:tr>
    </w:tbl>
    <w:p w14:paraId="1592E511" w14:textId="77777777" w:rsidR="009866CF" w:rsidRDefault="00000000">
      <w:pPr>
        <w:pStyle w:val="Titre2"/>
        <w:spacing w:before="320" w:after="160"/>
      </w:pPr>
      <w:bookmarkStart w:id="13" w:name="_Toc235776289"/>
      <w:r>
        <w:rPr>
          <w:rFonts w:ascii="Georgia" w:eastAsia="Georgia" w:hAnsi="Georgia" w:cs="Georgia"/>
          <w:b/>
          <w:bCs/>
          <w:color w:val="2E3A66"/>
        </w:rPr>
        <w:t>2.3 Techniques d'extraction de la plaque : cinq grandes familles</w:t>
      </w:r>
      <w:bookmarkEnd w:id="13"/>
    </w:p>
    <w:p w14:paraId="3F6A730D" w14:textId="77777777" w:rsidR="009866CF" w:rsidRDefault="00000000">
      <w:pPr>
        <w:spacing w:after="160" w:line="288" w:lineRule="auto"/>
        <w:jc w:val="both"/>
      </w:pPr>
      <w:r>
        <w:rPr>
          <w:color w:val="222222"/>
        </w:rPr>
        <w:t>La littérature distingue cinq grandes approches pour localiser la plaque dans l'image, chacune avec ses forces et ses limites :</w:t>
      </w:r>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100"/>
        <w:gridCol w:w="3200"/>
        <w:gridCol w:w="2100"/>
        <w:gridCol w:w="1950"/>
      </w:tblGrid>
      <w:tr w:rsidR="009866CF" w14:paraId="3131AA82" w14:textId="77777777">
        <w:tblPrEx>
          <w:tblCellMar>
            <w:top w:w="0" w:type="dxa"/>
            <w:bottom w:w="0" w:type="dxa"/>
          </w:tblCellMar>
        </w:tblPrEx>
        <w:trPr>
          <w:tblHeader/>
        </w:trPr>
        <w:tc>
          <w:tcPr>
            <w:tcW w:w="2100" w:type="dxa"/>
            <w:shd w:val="clear" w:color="auto" w:fill="1B2340"/>
            <w:tcMar>
              <w:top w:w="100" w:type="dxa"/>
              <w:left w:w="120" w:type="dxa"/>
              <w:bottom w:w="100" w:type="dxa"/>
              <w:right w:w="120" w:type="dxa"/>
            </w:tcMar>
            <w:vAlign w:val="center"/>
          </w:tcPr>
          <w:p w14:paraId="71CC8433" w14:textId="77777777" w:rsidR="009866CF" w:rsidRDefault="00000000">
            <w:r>
              <w:rPr>
                <w:b/>
                <w:bCs/>
                <w:color w:val="FFFFFF"/>
                <w:sz w:val="19"/>
                <w:szCs w:val="19"/>
              </w:rPr>
              <w:t>Approche</w:t>
            </w:r>
          </w:p>
        </w:tc>
        <w:tc>
          <w:tcPr>
            <w:tcW w:w="3200" w:type="dxa"/>
            <w:shd w:val="clear" w:color="auto" w:fill="1B2340"/>
            <w:tcMar>
              <w:top w:w="100" w:type="dxa"/>
              <w:left w:w="120" w:type="dxa"/>
              <w:bottom w:w="100" w:type="dxa"/>
              <w:right w:w="120" w:type="dxa"/>
            </w:tcMar>
            <w:vAlign w:val="center"/>
          </w:tcPr>
          <w:p w14:paraId="4DF8877F" w14:textId="77777777" w:rsidR="009866CF" w:rsidRDefault="00000000">
            <w:r>
              <w:rPr>
                <w:b/>
                <w:bCs/>
                <w:color w:val="FFFFFF"/>
                <w:sz w:val="19"/>
                <w:szCs w:val="19"/>
              </w:rPr>
              <w:t>Principe</w:t>
            </w:r>
          </w:p>
        </w:tc>
        <w:tc>
          <w:tcPr>
            <w:tcW w:w="2100" w:type="dxa"/>
            <w:shd w:val="clear" w:color="auto" w:fill="1B2340"/>
            <w:tcMar>
              <w:top w:w="100" w:type="dxa"/>
              <w:left w:w="120" w:type="dxa"/>
              <w:bottom w:w="100" w:type="dxa"/>
              <w:right w:w="120" w:type="dxa"/>
            </w:tcMar>
            <w:vAlign w:val="center"/>
          </w:tcPr>
          <w:p w14:paraId="5272ED6D" w14:textId="77777777" w:rsidR="009866CF" w:rsidRDefault="00000000">
            <w:r>
              <w:rPr>
                <w:b/>
                <w:bCs/>
                <w:color w:val="FFFFFF"/>
                <w:sz w:val="19"/>
                <w:szCs w:val="19"/>
              </w:rPr>
              <w:t>Performance rapportée</w:t>
            </w:r>
          </w:p>
        </w:tc>
        <w:tc>
          <w:tcPr>
            <w:tcW w:w="1950" w:type="dxa"/>
            <w:shd w:val="clear" w:color="auto" w:fill="1B2340"/>
            <w:tcMar>
              <w:top w:w="100" w:type="dxa"/>
              <w:left w:w="120" w:type="dxa"/>
              <w:bottom w:w="100" w:type="dxa"/>
              <w:right w:w="120" w:type="dxa"/>
            </w:tcMar>
            <w:vAlign w:val="center"/>
          </w:tcPr>
          <w:p w14:paraId="1E0B43B8" w14:textId="77777777" w:rsidR="009866CF" w:rsidRDefault="00000000">
            <w:r>
              <w:rPr>
                <w:b/>
                <w:bCs/>
                <w:color w:val="FFFFFF"/>
                <w:sz w:val="19"/>
                <w:szCs w:val="19"/>
              </w:rPr>
              <w:t>Limite principale</w:t>
            </w:r>
          </w:p>
        </w:tc>
      </w:tr>
      <w:tr w:rsidR="009866CF" w14:paraId="5DDCD173"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59670DB3" w14:textId="77777777" w:rsidR="009866CF" w:rsidRDefault="00000000">
            <w:r>
              <w:rPr>
                <w:sz w:val="18"/>
                <w:szCs w:val="18"/>
              </w:rPr>
              <w:t>Contours / bords (</w:t>
            </w:r>
            <w:proofErr w:type="spellStart"/>
            <w:r>
              <w:rPr>
                <w:sz w:val="18"/>
                <w:szCs w:val="18"/>
              </w:rPr>
              <w:t>edge</w:t>
            </w:r>
            <w:proofErr w:type="spellEnd"/>
            <w:r>
              <w:rPr>
                <w:sz w:val="18"/>
                <w:szCs w:val="18"/>
              </w:rPr>
              <w:t>)</w:t>
            </w:r>
          </w:p>
        </w:tc>
        <w:tc>
          <w:tcPr>
            <w:tcW w:w="3200" w:type="dxa"/>
            <w:shd w:val="clear" w:color="auto" w:fill="FFFFFF"/>
            <w:tcMar>
              <w:top w:w="90" w:type="dxa"/>
              <w:left w:w="120" w:type="dxa"/>
              <w:bottom w:w="90" w:type="dxa"/>
              <w:right w:w="120" w:type="dxa"/>
            </w:tcMar>
            <w:vAlign w:val="center"/>
          </w:tcPr>
          <w:p w14:paraId="61856903" w14:textId="77777777" w:rsidR="009866CF" w:rsidRDefault="00000000">
            <w:r>
              <w:rPr>
                <w:sz w:val="18"/>
                <w:szCs w:val="18"/>
              </w:rPr>
              <w:t>Détection des bords verticaux/horizontaux (filtre de Sobel, Canny, Gabor) pour repérer le rectangle de la plaque</w:t>
            </w:r>
          </w:p>
        </w:tc>
        <w:tc>
          <w:tcPr>
            <w:tcW w:w="2100" w:type="dxa"/>
            <w:shd w:val="clear" w:color="auto" w:fill="FFFFFF"/>
            <w:tcMar>
              <w:top w:w="90" w:type="dxa"/>
              <w:left w:w="120" w:type="dxa"/>
              <w:bottom w:w="90" w:type="dxa"/>
              <w:right w:w="120" w:type="dxa"/>
            </w:tcMar>
            <w:vAlign w:val="center"/>
          </w:tcPr>
          <w:p w14:paraId="561A81E3" w14:textId="77777777" w:rsidR="009866CF" w:rsidRDefault="00000000">
            <w:r>
              <w:rPr>
                <w:sz w:val="18"/>
                <w:szCs w:val="18"/>
              </w:rPr>
              <w:t>Jusqu'à ~99-100 % sur images propres</w:t>
            </w:r>
          </w:p>
        </w:tc>
        <w:tc>
          <w:tcPr>
            <w:tcW w:w="1950" w:type="dxa"/>
            <w:shd w:val="clear" w:color="auto" w:fill="FFFFFF"/>
            <w:tcMar>
              <w:top w:w="90" w:type="dxa"/>
              <w:left w:w="120" w:type="dxa"/>
              <w:bottom w:w="90" w:type="dxa"/>
              <w:right w:w="120" w:type="dxa"/>
            </w:tcMar>
            <w:vAlign w:val="center"/>
          </w:tcPr>
          <w:p w14:paraId="51F5CD96" w14:textId="77777777" w:rsidR="009866CF" w:rsidRDefault="00000000">
            <w:r>
              <w:rPr>
                <w:sz w:val="18"/>
                <w:szCs w:val="18"/>
              </w:rPr>
              <w:t>Sensible au bruit, aux pare-chocs, aux formes similaires sur la carrosserie</w:t>
            </w:r>
          </w:p>
        </w:tc>
      </w:tr>
      <w:tr w:rsidR="009866CF" w14:paraId="1C4ED88E" w14:textId="77777777">
        <w:tblPrEx>
          <w:tblCellMar>
            <w:top w:w="0" w:type="dxa"/>
            <w:bottom w:w="0" w:type="dxa"/>
          </w:tblCellMar>
        </w:tblPrEx>
        <w:tc>
          <w:tcPr>
            <w:tcW w:w="2100" w:type="dxa"/>
            <w:shd w:val="clear" w:color="auto" w:fill="F2F2F2"/>
            <w:tcMar>
              <w:top w:w="90" w:type="dxa"/>
              <w:left w:w="120" w:type="dxa"/>
              <w:bottom w:w="90" w:type="dxa"/>
              <w:right w:w="120" w:type="dxa"/>
            </w:tcMar>
            <w:vAlign w:val="center"/>
          </w:tcPr>
          <w:p w14:paraId="7B5C206F" w14:textId="77777777" w:rsidR="009866CF" w:rsidRDefault="00000000">
            <w:r>
              <w:rPr>
                <w:sz w:val="18"/>
                <w:szCs w:val="18"/>
              </w:rPr>
              <w:t>Information globale (CCA)</w:t>
            </w:r>
          </w:p>
        </w:tc>
        <w:tc>
          <w:tcPr>
            <w:tcW w:w="3200" w:type="dxa"/>
            <w:shd w:val="clear" w:color="auto" w:fill="F2F2F2"/>
            <w:tcMar>
              <w:top w:w="90" w:type="dxa"/>
              <w:left w:w="120" w:type="dxa"/>
              <w:bottom w:w="90" w:type="dxa"/>
              <w:right w:w="120" w:type="dxa"/>
            </w:tcMar>
            <w:vAlign w:val="center"/>
          </w:tcPr>
          <w:p w14:paraId="1855459A" w14:textId="77777777" w:rsidR="009866CF" w:rsidRDefault="00000000">
            <w:r>
              <w:rPr>
                <w:sz w:val="18"/>
                <w:szCs w:val="18"/>
              </w:rPr>
              <w:t>Analyse en composantes connexes après binarisation adaptative (méthode d'Otsu)</w:t>
            </w:r>
          </w:p>
        </w:tc>
        <w:tc>
          <w:tcPr>
            <w:tcW w:w="2100" w:type="dxa"/>
            <w:shd w:val="clear" w:color="auto" w:fill="F2F2F2"/>
            <w:tcMar>
              <w:top w:w="90" w:type="dxa"/>
              <w:left w:w="120" w:type="dxa"/>
              <w:bottom w:w="90" w:type="dxa"/>
              <w:right w:w="120" w:type="dxa"/>
            </w:tcMar>
            <w:vAlign w:val="center"/>
          </w:tcPr>
          <w:p w14:paraId="1A5BE16A" w14:textId="77777777" w:rsidR="009866CF" w:rsidRDefault="00000000">
            <w:r>
              <w:rPr>
                <w:sz w:val="18"/>
                <w:szCs w:val="18"/>
              </w:rPr>
              <w:t>96-97 % sur jeux de plusieurs milliers d'images</w:t>
            </w:r>
          </w:p>
        </w:tc>
        <w:tc>
          <w:tcPr>
            <w:tcW w:w="1950" w:type="dxa"/>
            <w:shd w:val="clear" w:color="auto" w:fill="F2F2F2"/>
            <w:tcMar>
              <w:top w:w="90" w:type="dxa"/>
              <w:left w:w="120" w:type="dxa"/>
              <w:bottom w:w="90" w:type="dxa"/>
              <w:right w:w="120" w:type="dxa"/>
            </w:tcMar>
            <w:vAlign w:val="center"/>
          </w:tcPr>
          <w:p w14:paraId="51E36963" w14:textId="77777777" w:rsidR="009866CF" w:rsidRDefault="00000000">
            <w:r>
              <w:rPr>
                <w:sz w:val="18"/>
                <w:szCs w:val="18"/>
              </w:rPr>
              <w:t>Coûteux en temps de calcul, sensible à la qualité d'image</w:t>
            </w:r>
          </w:p>
        </w:tc>
      </w:tr>
      <w:tr w:rsidR="009866CF" w14:paraId="0C9B510B"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17D66E0B" w14:textId="77777777" w:rsidR="009866CF" w:rsidRDefault="00000000">
            <w:r>
              <w:rPr>
                <w:sz w:val="18"/>
                <w:szCs w:val="18"/>
              </w:rPr>
              <w:t>Couleur</w:t>
            </w:r>
          </w:p>
        </w:tc>
        <w:tc>
          <w:tcPr>
            <w:tcW w:w="3200" w:type="dxa"/>
            <w:shd w:val="clear" w:color="auto" w:fill="FFFFFF"/>
            <w:tcMar>
              <w:top w:w="90" w:type="dxa"/>
              <w:left w:w="120" w:type="dxa"/>
              <w:bottom w:w="90" w:type="dxa"/>
              <w:right w:w="120" w:type="dxa"/>
            </w:tcMar>
            <w:vAlign w:val="center"/>
          </w:tcPr>
          <w:p w14:paraId="18486727" w14:textId="77777777" w:rsidR="009866CF" w:rsidRDefault="00000000">
            <w:r>
              <w:rPr>
                <w:sz w:val="18"/>
                <w:szCs w:val="18"/>
              </w:rPr>
              <w:t>Classification des pixels par teinte/saturation (HLS, HSV) selon les couleurs typiques des plaques d'un pays</w:t>
            </w:r>
          </w:p>
        </w:tc>
        <w:tc>
          <w:tcPr>
            <w:tcW w:w="2100" w:type="dxa"/>
            <w:shd w:val="clear" w:color="auto" w:fill="FFFFFF"/>
            <w:tcMar>
              <w:top w:w="90" w:type="dxa"/>
              <w:left w:w="120" w:type="dxa"/>
              <w:bottom w:w="90" w:type="dxa"/>
              <w:right w:w="120" w:type="dxa"/>
            </w:tcMar>
            <w:vAlign w:val="center"/>
          </w:tcPr>
          <w:p w14:paraId="2CA9FDC3" w14:textId="77777777" w:rsidR="009866CF" w:rsidRDefault="00000000">
            <w:r>
              <w:rPr>
                <w:sz w:val="18"/>
                <w:szCs w:val="18"/>
              </w:rPr>
              <w:t>92-98 % selon les conditions d'éclairage</w:t>
            </w:r>
          </w:p>
        </w:tc>
        <w:tc>
          <w:tcPr>
            <w:tcW w:w="1950" w:type="dxa"/>
            <w:shd w:val="clear" w:color="auto" w:fill="FFFFFF"/>
            <w:tcMar>
              <w:top w:w="90" w:type="dxa"/>
              <w:left w:w="120" w:type="dxa"/>
              <w:bottom w:w="90" w:type="dxa"/>
              <w:right w:w="120" w:type="dxa"/>
            </w:tcMar>
            <w:vAlign w:val="center"/>
          </w:tcPr>
          <w:p w14:paraId="1078FD55" w14:textId="77777777" w:rsidR="009866CF" w:rsidRDefault="00000000">
            <w:r>
              <w:rPr>
                <w:sz w:val="18"/>
                <w:szCs w:val="18"/>
              </w:rPr>
              <w:t>Dépend fortement de l'éclairage ; confond plaque et carrosserie de même couleur</w:t>
            </w:r>
          </w:p>
        </w:tc>
      </w:tr>
      <w:tr w:rsidR="009866CF" w14:paraId="114F7FA4" w14:textId="77777777">
        <w:tblPrEx>
          <w:tblCellMar>
            <w:top w:w="0" w:type="dxa"/>
            <w:bottom w:w="0" w:type="dxa"/>
          </w:tblCellMar>
        </w:tblPrEx>
        <w:tc>
          <w:tcPr>
            <w:tcW w:w="2100" w:type="dxa"/>
            <w:shd w:val="clear" w:color="auto" w:fill="F2F2F2"/>
            <w:tcMar>
              <w:top w:w="90" w:type="dxa"/>
              <w:left w:w="120" w:type="dxa"/>
              <w:bottom w:w="90" w:type="dxa"/>
              <w:right w:w="120" w:type="dxa"/>
            </w:tcMar>
            <w:vAlign w:val="center"/>
          </w:tcPr>
          <w:p w14:paraId="3D80B816" w14:textId="77777777" w:rsidR="009866CF" w:rsidRDefault="00000000">
            <w:r>
              <w:rPr>
                <w:sz w:val="18"/>
                <w:szCs w:val="18"/>
              </w:rPr>
              <w:t>Texture</w:t>
            </w:r>
          </w:p>
        </w:tc>
        <w:tc>
          <w:tcPr>
            <w:tcW w:w="3200" w:type="dxa"/>
            <w:shd w:val="clear" w:color="auto" w:fill="F2F2F2"/>
            <w:tcMar>
              <w:top w:w="90" w:type="dxa"/>
              <w:left w:w="120" w:type="dxa"/>
              <w:bottom w:w="90" w:type="dxa"/>
              <w:right w:w="120" w:type="dxa"/>
            </w:tcMar>
            <w:vAlign w:val="center"/>
          </w:tcPr>
          <w:p w14:paraId="0E22FA76" w14:textId="77777777" w:rsidR="009866CF" w:rsidRDefault="00000000">
            <w:r>
              <w:rPr>
                <w:sz w:val="18"/>
                <w:szCs w:val="18"/>
              </w:rPr>
              <w:t xml:space="preserve">Analyse des irrégularités de texture (LBP, HOG, ondelettes, Haar + </w:t>
            </w:r>
            <w:proofErr w:type="spellStart"/>
            <w:r>
              <w:rPr>
                <w:sz w:val="18"/>
                <w:szCs w:val="18"/>
              </w:rPr>
              <w:t>AdaBoost</w:t>
            </w:r>
            <w:proofErr w:type="spellEnd"/>
            <w:r>
              <w:rPr>
                <w:sz w:val="18"/>
                <w:szCs w:val="18"/>
              </w:rPr>
              <w:t>)</w:t>
            </w:r>
          </w:p>
        </w:tc>
        <w:tc>
          <w:tcPr>
            <w:tcW w:w="2100" w:type="dxa"/>
            <w:shd w:val="clear" w:color="auto" w:fill="F2F2F2"/>
            <w:tcMar>
              <w:top w:w="90" w:type="dxa"/>
              <w:left w:w="120" w:type="dxa"/>
              <w:bottom w:w="90" w:type="dxa"/>
              <w:right w:w="120" w:type="dxa"/>
            </w:tcMar>
            <w:vAlign w:val="center"/>
          </w:tcPr>
          <w:p w14:paraId="6EEF4BDE" w14:textId="77777777" w:rsidR="009866CF" w:rsidRDefault="00000000">
            <w:r>
              <w:rPr>
                <w:sz w:val="18"/>
                <w:szCs w:val="18"/>
              </w:rPr>
              <w:t>89-99 % selon la méthode</w:t>
            </w:r>
          </w:p>
        </w:tc>
        <w:tc>
          <w:tcPr>
            <w:tcW w:w="1950" w:type="dxa"/>
            <w:shd w:val="clear" w:color="auto" w:fill="F2F2F2"/>
            <w:tcMar>
              <w:top w:w="90" w:type="dxa"/>
              <w:left w:w="120" w:type="dxa"/>
              <w:bottom w:w="90" w:type="dxa"/>
              <w:right w:w="120" w:type="dxa"/>
            </w:tcMar>
            <w:vAlign w:val="center"/>
          </w:tcPr>
          <w:p w14:paraId="6D3E7D08" w14:textId="77777777" w:rsidR="009866CF" w:rsidRDefault="00000000">
            <w:r>
              <w:rPr>
                <w:sz w:val="18"/>
                <w:szCs w:val="18"/>
              </w:rPr>
              <w:t>Coûteux en calcul, sensible au flou et à la faible luminosité</w:t>
            </w:r>
          </w:p>
        </w:tc>
      </w:tr>
      <w:tr w:rsidR="009866CF" w14:paraId="209191DA"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31E06110" w14:textId="77777777" w:rsidR="009866CF" w:rsidRDefault="00000000">
            <w:r>
              <w:rPr>
                <w:sz w:val="18"/>
                <w:szCs w:val="18"/>
              </w:rPr>
              <w:t>Apprentissage profond (Deep Learning / YOLO)</w:t>
            </w:r>
          </w:p>
        </w:tc>
        <w:tc>
          <w:tcPr>
            <w:tcW w:w="3200" w:type="dxa"/>
            <w:shd w:val="clear" w:color="auto" w:fill="FFFFFF"/>
            <w:tcMar>
              <w:top w:w="90" w:type="dxa"/>
              <w:left w:w="120" w:type="dxa"/>
              <w:bottom w:w="90" w:type="dxa"/>
              <w:right w:w="120" w:type="dxa"/>
            </w:tcMar>
            <w:vAlign w:val="center"/>
          </w:tcPr>
          <w:p w14:paraId="07F87C48" w14:textId="77777777" w:rsidR="009866CF" w:rsidRDefault="00000000">
            <w:r>
              <w:rPr>
                <w:sz w:val="18"/>
                <w:szCs w:val="18"/>
              </w:rPr>
              <w:t>CNN entraîné de bout en bout pour détecter directement la région de plaque</w:t>
            </w:r>
          </w:p>
        </w:tc>
        <w:tc>
          <w:tcPr>
            <w:tcW w:w="2100" w:type="dxa"/>
            <w:shd w:val="clear" w:color="auto" w:fill="FFFFFF"/>
            <w:tcMar>
              <w:top w:w="90" w:type="dxa"/>
              <w:left w:w="120" w:type="dxa"/>
              <w:bottom w:w="90" w:type="dxa"/>
              <w:right w:w="120" w:type="dxa"/>
            </w:tcMar>
            <w:vAlign w:val="center"/>
          </w:tcPr>
          <w:p w14:paraId="62C484FC" w14:textId="77777777" w:rsidR="009866CF" w:rsidRDefault="00000000">
            <w:r>
              <w:rPr>
                <w:sz w:val="18"/>
                <w:szCs w:val="18"/>
              </w:rPr>
              <w:t>93,5 % (SSIG) à 78,3 % (UFPR-ALPR, conditions réelles), jusqu'à 47 FPS</w:t>
            </w:r>
          </w:p>
        </w:tc>
        <w:tc>
          <w:tcPr>
            <w:tcW w:w="1950" w:type="dxa"/>
            <w:shd w:val="clear" w:color="auto" w:fill="FFFFFF"/>
            <w:tcMar>
              <w:top w:w="90" w:type="dxa"/>
              <w:left w:w="120" w:type="dxa"/>
              <w:bottom w:w="90" w:type="dxa"/>
              <w:right w:w="120" w:type="dxa"/>
            </w:tcMar>
            <w:vAlign w:val="center"/>
          </w:tcPr>
          <w:p w14:paraId="282EA58B" w14:textId="77777777" w:rsidR="009866CF" w:rsidRDefault="00000000">
            <w:r>
              <w:rPr>
                <w:sz w:val="18"/>
                <w:szCs w:val="18"/>
              </w:rPr>
              <w:t>Nécessite de grands jeux de données annotés</w:t>
            </w:r>
          </w:p>
        </w:tc>
      </w:tr>
    </w:tbl>
    <w:p w14:paraId="0B950F32" w14:textId="69E9EF4E" w:rsidR="009866CF" w:rsidRDefault="00000000">
      <w:pPr>
        <w:pBdr>
          <w:left w:val="single" w:sz="18" w:space="8" w:color="8E7CC3"/>
        </w:pBdr>
        <w:spacing w:before="80" w:after="200"/>
        <w:ind w:left="300"/>
      </w:pPr>
      <w:r w:rsidRPr="00D0019B">
        <w:rPr>
          <w:i/>
          <w:iCs/>
          <w:color w:val="595959"/>
          <w:sz w:val="18"/>
          <w:szCs w:val="18"/>
          <w:lang w:val="en-US"/>
        </w:rPr>
        <w:t xml:space="preserve">Source: Lubna, N.M. &amp; Shah, S.A.A. (2021), « Automatic Number Plate Recognition: A Detailed Survey of Relevant Algorithms », Sensors, 21(9), 3028. </w:t>
      </w:r>
      <w:proofErr w:type="gramStart"/>
      <w:r>
        <w:rPr>
          <w:i/>
          <w:iCs/>
          <w:color w:val="595959"/>
          <w:sz w:val="18"/>
          <w:szCs w:val="18"/>
        </w:rPr>
        <w:t>DOI:</w:t>
      </w:r>
      <w:proofErr w:type="gramEnd"/>
      <w:r>
        <w:rPr>
          <w:i/>
          <w:iCs/>
          <w:color w:val="595959"/>
          <w:sz w:val="18"/>
          <w:szCs w:val="18"/>
        </w:rPr>
        <w:t xml:space="preserve"> 10.3390/s21093028.</w:t>
      </w:r>
    </w:p>
    <w:p w14:paraId="7074B113" w14:textId="77777777" w:rsidR="009866CF" w:rsidRDefault="00000000">
      <w:pPr>
        <w:pStyle w:val="Titre2"/>
        <w:spacing w:before="320" w:after="160"/>
      </w:pPr>
      <w:bookmarkStart w:id="14" w:name="_Toc235776290"/>
      <w:r>
        <w:rPr>
          <w:rFonts w:ascii="Georgia" w:eastAsia="Georgia" w:hAnsi="Georgia" w:cs="Georgia"/>
          <w:b/>
          <w:bCs/>
          <w:color w:val="2E3A66"/>
        </w:rPr>
        <w:t>2.4 Segmentation et reconnaissance des caractères</w:t>
      </w:r>
      <w:bookmarkEnd w:id="14"/>
    </w:p>
    <w:p w14:paraId="47BA23C8" w14:textId="77777777" w:rsidR="009866CF" w:rsidRDefault="00000000">
      <w:pPr>
        <w:spacing w:after="160" w:line="288" w:lineRule="auto"/>
        <w:jc w:val="both"/>
      </w:pPr>
      <w:r>
        <w:rPr>
          <w:color w:val="222222"/>
        </w:rPr>
        <w:t xml:space="preserve">Une fois la plaque isolée, les caractères doivent être segmentés individuellement (par composantes connexes, projection verticale/horizontale, ou modélisation de contours) avant d'être reconnus. La reconnaissance elle-même repose historiquement sur le </w:t>
      </w:r>
      <w:proofErr w:type="spellStart"/>
      <w:r>
        <w:rPr>
          <w:color w:val="222222"/>
        </w:rPr>
        <w:t>template</w:t>
      </w:r>
      <w:proofErr w:type="spellEnd"/>
      <w:r>
        <w:rPr>
          <w:color w:val="222222"/>
        </w:rPr>
        <w:t xml:space="preserve"> </w:t>
      </w:r>
      <w:proofErr w:type="spellStart"/>
      <w:r>
        <w:rPr>
          <w:color w:val="222222"/>
        </w:rPr>
        <w:t>matching</w:t>
      </w:r>
      <w:proofErr w:type="spellEnd"/>
      <w:r>
        <w:rPr>
          <w:color w:val="222222"/>
        </w:rPr>
        <w:t xml:space="preserve"> (comparaison directe avec un jeu de modèles de caractères), une méthode simple mais fragile dès que les caractères sont inclinés, déformés ou dans une police différente. Les approches modernes lui préfèrent l'extraction de caractéristiques couplée à des classifieurs (SVM, réseaux de neurones) ou, de plus en plus, des moteurs OCR entraînés par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tels que Tesseract, capable de reconnaître plus de 100 langues et alphabets.</w:t>
      </w:r>
    </w:p>
    <w:tbl>
      <w:tblPr>
        <w:tblW w:w="5000" w:type="pct"/>
        <w:tblBorders>
          <w:top w:val="single" w:sz="6" w:space="0" w:color="C98CA7"/>
          <w:left w:val="single" w:sz="24" w:space="0" w:color="C98CA7"/>
          <w:bottom w:val="single" w:sz="6" w:space="0" w:color="C98CA7"/>
          <w:right w:val="single" w:sz="6" w:space="0" w:color="C98CA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70985BD7" w14:textId="77777777">
        <w:tblPrEx>
          <w:tblCellMar>
            <w:top w:w="0" w:type="dxa"/>
            <w:bottom w:w="0" w:type="dxa"/>
          </w:tblCellMar>
        </w:tblPrEx>
        <w:tc>
          <w:tcPr>
            <w:tcW w:w="0" w:type="auto"/>
            <w:shd w:val="clear" w:color="auto" w:fill="FBF1F5"/>
            <w:tcMar>
              <w:top w:w="160" w:type="dxa"/>
              <w:left w:w="220" w:type="dxa"/>
              <w:bottom w:w="160" w:type="dxa"/>
              <w:right w:w="220" w:type="dxa"/>
            </w:tcMar>
          </w:tcPr>
          <w:p w14:paraId="4AFB8F7D" w14:textId="65BDF9C0" w:rsidR="009866CF" w:rsidRDefault="00000000">
            <w:pPr>
              <w:spacing w:after="80"/>
            </w:pPr>
            <w:r>
              <w:rPr>
                <w:b/>
                <w:bCs/>
                <w:color w:val="8A3F5C"/>
                <w:sz w:val="21"/>
                <w:szCs w:val="21"/>
              </w:rPr>
              <w:t>✎ EXEMPLE CONCRET</w:t>
            </w:r>
            <w:r w:rsidR="00DE6AAB">
              <w:rPr>
                <w:b/>
                <w:bCs/>
                <w:color w:val="8A3F5C"/>
                <w:sz w:val="21"/>
                <w:szCs w:val="21"/>
              </w:rPr>
              <w:t>-</w:t>
            </w:r>
            <w:r>
              <w:rPr>
                <w:b/>
                <w:bCs/>
                <w:color w:val="8A3F5C"/>
                <w:sz w:val="21"/>
                <w:szCs w:val="21"/>
              </w:rPr>
              <w:t xml:space="preserve"> Confusions caractères fréquentes en OCR</w:t>
            </w:r>
          </w:p>
          <w:p w14:paraId="2FBC9477" w14:textId="77777777" w:rsidR="009866CF" w:rsidRDefault="00000000">
            <w:pPr>
              <w:jc w:val="both"/>
            </w:pPr>
            <w:r>
              <w:rPr>
                <w:color w:val="222222"/>
                <w:sz w:val="20"/>
                <w:szCs w:val="20"/>
              </w:rPr>
              <w:t>L'article souligne un défi très concret : certains caractères se ressemblent visuellement et sont fréquemment confondus par l'OCR, notamment les paires (O,0), (</w:t>
            </w:r>
            <w:proofErr w:type="gramStart"/>
            <w:r>
              <w:rPr>
                <w:color w:val="222222"/>
                <w:sz w:val="20"/>
                <w:szCs w:val="20"/>
              </w:rPr>
              <w:t>P,B</w:t>
            </w:r>
            <w:proofErr w:type="gramEnd"/>
            <w:r>
              <w:rPr>
                <w:color w:val="222222"/>
                <w:sz w:val="20"/>
                <w:szCs w:val="20"/>
              </w:rPr>
              <w:t>), (Z,2), (S,5), (B,8), (</w:t>
            </w:r>
            <w:proofErr w:type="gramStart"/>
            <w:r>
              <w:rPr>
                <w:color w:val="222222"/>
                <w:sz w:val="20"/>
                <w:szCs w:val="20"/>
              </w:rPr>
              <w:t>1,I</w:t>
            </w:r>
            <w:proofErr w:type="gramEnd"/>
            <w:r>
              <w:rPr>
                <w:color w:val="222222"/>
                <w:sz w:val="20"/>
                <w:szCs w:val="20"/>
              </w:rPr>
              <w:t>) ou (</w:t>
            </w:r>
            <w:proofErr w:type="gramStart"/>
            <w:r>
              <w:rPr>
                <w:color w:val="222222"/>
                <w:sz w:val="20"/>
                <w:szCs w:val="20"/>
              </w:rPr>
              <w:t>D,O</w:t>
            </w:r>
            <w:proofErr w:type="gramEnd"/>
            <w:r>
              <w:rPr>
                <w:color w:val="222222"/>
                <w:sz w:val="20"/>
                <w:szCs w:val="20"/>
              </w:rPr>
              <w:t>). Pour le contexte béninois, ce point est critique : nos règles de post-traitement OCR devront intégrer un dictionnaire de correction spécifique au format des plaques nationales, combiné à une vérification de format (nombre de caractères, position des lettres/chiffres attendue).</w:t>
            </w:r>
          </w:p>
        </w:tc>
      </w:tr>
    </w:tbl>
    <w:p w14:paraId="2008334E" w14:textId="77777777" w:rsidR="009866CF" w:rsidRDefault="00000000">
      <w:pPr>
        <w:pStyle w:val="Titre2"/>
        <w:spacing w:before="320" w:after="160"/>
      </w:pPr>
      <w:bookmarkStart w:id="15" w:name="_Toc235776291"/>
      <w:r>
        <w:rPr>
          <w:rFonts w:ascii="Georgia" w:eastAsia="Georgia" w:hAnsi="Georgia" w:cs="Georgia"/>
          <w:b/>
          <w:bCs/>
          <w:color w:val="2E3A66"/>
        </w:rPr>
        <w:t>2.5 Facteurs de performance et défis environnementaux</w:t>
      </w:r>
      <w:bookmarkEnd w:id="15"/>
    </w:p>
    <w:p w14:paraId="75A4F5E6" w14:textId="12A2C1F8" w:rsidR="009866CF" w:rsidRDefault="00000000">
      <w:pPr>
        <w:spacing w:after="160" w:line="288" w:lineRule="auto"/>
        <w:jc w:val="both"/>
      </w:pPr>
      <w:r>
        <w:rPr>
          <w:color w:val="222222"/>
        </w:rPr>
        <w:t>La performance d'un système ANPR n'est jamais uniquement une question d'algorithme : elle dépend aussi de facteurs matériels et environnementaux qualité et position de la caméra, vitesse d'obturation, conditions de luminosité (jour/nuit), flou de mouvement, réflexions, poussière, et diversité des formats de plaques (styles, couleurs, polices, tailles, état physique).</w:t>
      </w:r>
    </w:p>
    <w:tbl>
      <w:tblPr>
        <w:tblW w:w="5000" w:type="pct"/>
        <w:tblBorders>
          <w:top w:val="single" w:sz="6" w:space="0" w:color="6C5CA6"/>
          <w:left w:val="single" w:sz="24" w:space="0" w:color="6C5CA6"/>
          <w:bottom w:val="single" w:sz="6" w:space="0" w:color="6C5CA6"/>
          <w:right w:val="single" w:sz="6" w:space="0" w:color="6C5CA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19687F0D" w14:textId="77777777">
        <w:tblPrEx>
          <w:tblCellMar>
            <w:top w:w="0" w:type="dxa"/>
            <w:bottom w:w="0" w:type="dxa"/>
          </w:tblCellMar>
        </w:tblPrEx>
        <w:tc>
          <w:tcPr>
            <w:tcW w:w="0" w:type="auto"/>
            <w:shd w:val="clear" w:color="auto" w:fill="EFEAFB"/>
            <w:tcMar>
              <w:top w:w="160" w:type="dxa"/>
              <w:left w:w="220" w:type="dxa"/>
              <w:bottom w:w="160" w:type="dxa"/>
              <w:right w:w="220" w:type="dxa"/>
            </w:tcMar>
          </w:tcPr>
          <w:p w14:paraId="547A6C18" w14:textId="2BCD6ACA" w:rsidR="009866CF" w:rsidRDefault="00000000">
            <w:pPr>
              <w:spacing w:after="100"/>
            </w:pPr>
            <w:r>
              <w:rPr>
                <w:b/>
                <w:bCs/>
                <w:color w:val="1B2340"/>
                <w:sz w:val="21"/>
                <w:szCs w:val="21"/>
              </w:rPr>
              <w:t xml:space="preserve">✦ À RETENIR </w:t>
            </w:r>
            <w:r w:rsidR="00DE6AAB">
              <w:rPr>
                <w:b/>
                <w:bCs/>
                <w:color w:val="1B2340"/>
                <w:sz w:val="21"/>
                <w:szCs w:val="21"/>
              </w:rPr>
              <w:t>-</w:t>
            </w:r>
            <w:r>
              <w:rPr>
                <w:b/>
                <w:bCs/>
                <w:color w:val="1B2340"/>
                <w:sz w:val="21"/>
                <w:szCs w:val="21"/>
              </w:rPr>
              <w:t xml:space="preserve"> Facteurs qui dégradent la performance ANPR</w:t>
            </w:r>
          </w:p>
          <w:p w14:paraId="7791B227" w14:textId="77777777" w:rsidR="009866CF" w:rsidRDefault="00000000">
            <w:pPr>
              <w:pStyle w:val="Paragraphedeliste"/>
              <w:numPr>
                <w:ilvl w:val="0"/>
                <w:numId w:val="1"/>
              </w:numPr>
              <w:spacing w:after="60"/>
            </w:pPr>
            <w:r>
              <w:rPr>
                <w:color w:val="222222"/>
                <w:sz w:val="20"/>
                <w:szCs w:val="20"/>
              </w:rPr>
              <w:t>Non-standardisation des formats de plaques d'un pays/région à l'autre.</w:t>
            </w:r>
          </w:p>
          <w:p w14:paraId="2B6C6F6A" w14:textId="77777777" w:rsidR="009866CF" w:rsidRDefault="00000000">
            <w:pPr>
              <w:pStyle w:val="Paragraphedeliste"/>
              <w:numPr>
                <w:ilvl w:val="0"/>
                <w:numId w:val="1"/>
              </w:numPr>
              <w:spacing w:after="60"/>
            </w:pPr>
            <w:r>
              <w:rPr>
                <w:color w:val="222222"/>
                <w:sz w:val="20"/>
                <w:szCs w:val="20"/>
              </w:rPr>
              <w:t>Conditions d'éclairage variables (jour/nuit, contre-jour, reflets).</w:t>
            </w:r>
          </w:p>
          <w:p w14:paraId="79FB090D" w14:textId="77777777" w:rsidR="009866CF" w:rsidRDefault="00000000">
            <w:pPr>
              <w:pStyle w:val="Paragraphedeliste"/>
              <w:numPr>
                <w:ilvl w:val="0"/>
                <w:numId w:val="1"/>
              </w:numPr>
              <w:spacing w:after="60"/>
            </w:pPr>
            <w:r>
              <w:rPr>
                <w:color w:val="222222"/>
                <w:sz w:val="20"/>
                <w:szCs w:val="20"/>
              </w:rPr>
              <w:t>Flou de mouvement pour les véhicules rapides.</w:t>
            </w:r>
          </w:p>
          <w:p w14:paraId="2E9725DE" w14:textId="77777777" w:rsidR="009866CF" w:rsidRDefault="00000000">
            <w:pPr>
              <w:pStyle w:val="Paragraphedeliste"/>
              <w:numPr>
                <w:ilvl w:val="0"/>
                <w:numId w:val="1"/>
              </w:numPr>
              <w:spacing w:after="60"/>
            </w:pPr>
            <w:r>
              <w:rPr>
                <w:color w:val="222222"/>
                <w:sz w:val="20"/>
                <w:szCs w:val="20"/>
              </w:rPr>
              <w:t>Occlusions, plaques sales, endommagées ou mal fixées.</w:t>
            </w:r>
          </w:p>
          <w:p w14:paraId="77949015" w14:textId="77777777" w:rsidR="009866CF" w:rsidRDefault="00000000">
            <w:pPr>
              <w:pStyle w:val="Paragraphedeliste"/>
              <w:numPr>
                <w:ilvl w:val="0"/>
                <w:numId w:val="1"/>
              </w:numPr>
              <w:spacing w:after="60"/>
            </w:pPr>
            <w:r>
              <w:rPr>
                <w:color w:val="222222"/>
                <w:sz w:val="20"/>
                <w:szCs w:val="20"/>
              </w:rPr>
              <w:t>Contraintes de traitement et de mémoire pour le temps réel.</w:t>
            </w:r>
          </w:p>
        </w:tc>
      </w:tr>
    </w:tbl>
    <w:p w14:paraId="58DECE4B" w14:textId="021A76ED" w:rsidR="009866CF" w:rsidRDefault="00000000">
      <w:pPr>
        <w:spacing w:after="160" w:line="288" w:lineRule="auto"/>
        <w:jc w:val="both"/>
      </w:pPr>
      <w:r>
        <w:rPr>
          <w:color w:val="222222"/>
        </w:rPr>
        <w:t>Ce constat scientifique fait directement écho à la note de transposition du cahier des charges béninois : la forte densité de deux-roues à Cotonou, souvent sans plaque normalisée ou visible, constitue précisément le type d'angle mort documenté dans la littérature internationale ce qui légitime la nécessité d'une collecte locale complémentaire plutôt qu'un simple transfert d'un modèle entraîné ailleurs.</w:t>
      </w:r>
    </w:p>
    <w:p w14:paraId="769CF267" w14:textId="77777777" w:rsidR="009866CF" w:rsidRDefault="00000000">
      <w:pPr>
        <w:pStyle w:val="Titre2"/>
        <w:spacing w:before="320" w:after="160"/>
      </w:pPr>
      <w:bookmarkStart w:id="16" w:name="_Toc235776292"/>
      <w:r>
        <w:rPr>
          <w:rFonts w:ascii="Georgia" w:eastAsia="Georgia" w:hAnsi="Georgia" w:cs="Georgia"/>
          <w:b/>
          <w:bCs/>
          <w:color w:val="2E3A66"/>
        </w:rPr>
        <w:t>2.6 Tendances récentes et perspectives</w:t>
      </w:r>
      <w:bookmarkEnd w:id="16"/>
    </w:p>
    <w:p w14:paraId="7E0C4D7A" w14:textId="5D67F490" w:rsidR="009866CF" w:rsidRDefault="00000000">
      <w:pPr>
        <w:spacing w:after="160" w:line="288" w:lineRule="auto"/>
        <w:jc w:val="both"/>
      </w:pPr>
      <w:r>
        <w:rPr>
          <w:color w:val="222222"/>
        </w:rPr>
        <w:t xml:space="preserve">L'étude identifie plusieurs tendances structurantes pour l'avenir de l'ANPR : l'intégration avec l'Internet des Objets (IoT), les systèmes RFID et GPS pour créer des solutions hybrides plus robustes ; la généralisation du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(CNN, YOLO) au détriment des méthodes classiques de traitement d'image ; et le besoin croissant de jeux de données annotés couvrant une plus grande diversité de formats de plaques dans le monde. Les auteurs recommandent également de tester les algorithmes sur des scènes vidéo réelles en temps réel plutôt que sur des images fixes pré-acquises une recommandation directement applicable à notre POC.</w:t>
      </w:r>
    </w:p>
    <w:tbl>
      <w:tblPr>
        <w:tblW w:w="5000" w:type="pct"/>
        <w:tblBorders>
          <w:top w:val="single" w:sz="6" w:space="0" w:color="6C5CA6"/>
          <w:left w:val="single" w:sz="24" w:space="0" w:color="6C5CA6"/>
          <w:bottom w:val="single" w:sz="6" w:space="0" w:color="6C5CA6"/>
          <w:right w:val="single" w:sz="6" w:space="0" w:color="6C5CA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33597A07" w14:textId="77777777">
        <w:tblPrEx>
          <w:tblCellMar>
            <w:top w:w="0" w:type="dxa"/>
            <w:bottom w:w="0" w:type="dxa"/>
          </w:tblCellMar>
        </w:tblPrEx>
        <w:tc>
          <w:tcPr>
            <w:tcW w:w="0" w:type="auto"/>
            <w:shd w:val="clear" w:color="auto" w:fill="EFEAFB"/>
            <w:tcMar>
              <w:top w:w="160" w:type="dxa"/>
              <w:left w:w="220" w:type="dxa"/>
              <w:bottom w:w="160" w:type="dxa"/>
              <w:right w:w="220" w:type="dxa"/>
            </w:tcMar>
          </w:tcPr>
          <w:p w14:paraId="39054F76" w14:textId="374615D6" w:rsidR="009866CF" w:rsidRDefault="00000000">
            <w:pPr>
              <w:spacing w:after="100"/>
            </w:pPr>
            <w:r>
              <w:rPr>
                <w:b/>
                <w:bCs/>
                <w:color w:val="1B2340"/>
                <w:sz w:val="21"/>
                <w:szCs w:val="21"/>
              </w:rPr>
              <w:t xml:space="preserve">✦ À RETENIR </w:t>
            </w:r>
            <w:r w:rsidR="00DE6AAB">
              <w:rPr>
                <w:b/>
                <w:bCs/>
                <w:color w:val="1B2340"/>
                <w:sz w:val="21"/>
                <w:szCs w:val="21"/>
              </w:rPr>
              <w:t>-</w:t>
            </w:r>
            <w:r>
              <w:rPr>
                <w:b/>
                <w:bCs/>
                <w:color w:val="1B2340"/>
                <w:sz w:val="21"/>
                <w:szCs w:val="21"/>
              </w:rPr>
              <w:t xml:space="preserve"> Ce que cette étude apporte concrètement au Projet 1</w:t>
            </w:r>
          </w:p>
          <w:p w14:paraId="1BC62B60" w14:textId="77777777" w:rsidR="009866CF" w:rsidRDefault="00000000">
            <w:pPr>
              <w:pStyle w:val="Paragraphedeliste"/>
              <w:numPr>
                <w:ilvl w:val="0"/>
                <w:numId w:val="1"/>
              </w:numPr>
              <w:spacing w:after="60"/>
            </w:pPr>
            <w:r>
              <w:rPr>
                <w:color w:val="222222"/>
                <w:sz w:val="20"/>
                <w:szCs w:val="20"/>
              </w:rPr>
              <w:t>Elle confirme que YOLO + OCR (</w:t>
            </w:r>
            <w:proofErr w:type="spellStart"/>
            <w:r>
              <w:rPr>
                <w:color w:val="222222"/>
                <w:sz w:val="20"/>
                <w:szCs w:val="20"/>
              </w:rPr>
              <w:t>EasyOCR</w:t>
            </w:r>
            <w:proofErr w:type="spellEnd"/>
            <w:r>
              <w:rPr>
                <w:color w:val="222222"/>
                <w:sz w:val="20"/>
                <w:szCs w:val="20"/>
              </w:rPr>
              <w:t>/</w:t>
            </w:r>
            <w:proofErr w:type="spellStart"/>
            <w:r>
              <w:rPr>
                <w:color w:val="222222"/>
                <w:sz w:val="20"/>
                <w:szCs w:val="20"/>
              </w:rPr>
              <w:t>PaddleOCR</w:t>
            </w:r>
            <w:proofErr w:type="spellEnd"/>
            <w:r>
              <w:rPr>
                <w:color w:val="222222"/>
                <w:sz w:val="20"/>
                <w:szCs w:val="20"/>
              </w:rPr>
              <w:t>/Tesseract) est l'approche de référence actuelle, cohérente avec l'architecture déjà proposée dans notre cahier des charges.</w:t>
            </w:r>
          </w:p>
          <w:p w14:paraId="1C7ABC9F" w14:textId="77777777" w:rsidR="009866CF" w:rsidRDefault="00000000">
            <w:pPr>
              <w:pStyle w:val="Paragraphedeliste"/>
              <w:numPr>
                <w:ilvl w:val="0"/>
                <w:numId w:val="1"/>
              </w:numPr>
              <w:spacing w:after="60"/>
            </w:pPr>
            <w:r>
              <w:rPr>
                <w:color w:val="222222"/>
                <w:sz w:val="20"/>
                <w:szCs w:val="20"/>
              </w:rPr>
              <w:t>Elle fournit des repères de performance réalistes (90-99 % selon les conditions) à utiliser comme objectifs de référence pour notre rapport de performance.</w:t>
            </w:r>
          </w:p>
          <w:p w14:paraId="2BA2E2D3" w14:textId="77777777" w:rsidR="009866CF" w:rsidRDefault="00000000">
            <w:pPr>
              <w:pStyle w:val="Paragraphedeliste"/>
              <w:numPr>
                <w:ilvl w:val="0"/>
                <w:numId w:val="1"/>
              </w:numPr>
              <w:spacing w:after="60"/>
            </w:pPr>
            <w:r>
              <w:rPr>
                <w:color w:val="222222"/>
                <w:sz w:val="20"/>
                <w:szCs w:val="20"/>
              </w:rPr>
              <w:t>Elle documente précisément les facteurs de dégradation (deux-roues, éclairage, formats non standard) que nous devrons anticiper pour le contexte béninois.</w:t>
            </w:r>
          </w:p>
          <w:p w14:paraId="22E481EF" w14:textId="77777777" w:rsidR="009866CF" w:rsidRDefault="00000000">
            <w:pPr>
              <w:pStyle w:val="Paragraphedeliste"/>
              <w:numPr>
                <w:ilvl w:val="0"/>
                <w:numId w:val="1"/>
              </w:numPr>
              <w:spacing w:after="60"/>
            </w:pPr>
            <w:r>
              <w:rPr>
                <w:color w:val="222222"/>
                <w:sz w:val="20"/>
                <w:szCs w:val="20"/>
              </w:rPr>
              <w:t>Elle justifie scientifiquement la nécessité d'une collecte de données locale, déjà identifiée comme un volet complémentaire recommandé.</w:t>
            </w:r>
          </w:p>
        </w:tc>
      </w:tr>
    </w:tbl>
    <w:p w14:paraId="0AAB2DF8" w14:textId="16C08F48" w:rsidR="009866CF" w:rsidRDefault="00000000">
      <w:pPr>
        <w:pStyle w:val="Titre1"/>
        <w:pBdr>
          <w:bottom w:val="single" w:sz="12" w:space="6" w:color="6C5CA6"/>
        </w:pBdr>
        <w:spacing w:before="480" w:after="240"/>
      </w:pPr>
      <w:bookmarkStart w:id="17" w:name="_Toc235776293"/>
      <w:r>
        <w:rPr>
          <w:rFonts w:ascii="Georgia" w:eastAsia="Georgia" w:hAnsi="Georgia" w:cs="Georgia"/>
          <w:b/>
          <w:bCs/>
          <w:color w:val="1B2340"/>
        </w:rPr>
        <w:t xml:space="preserve">3. Détection et suivi de véhicules : YOLOv8 et </w:t>
      </w:r>
      <w:proofErr w:type="spellStart"/>
      <w:r>
        <w:rPr>
          <w:rFonts w:ascii="Georgia" w:eastAsia="Georgia" w:hAnsi="Georgia" w:cs="Georgia"/>
          <w:b/>
          <w:bCs/>
          <w:color w:val="1B2340"/>
        </w:rPr>
        <w:t>DeepSORT</w:t>
      </w:r>
      <w:bookmarkEnd w:id="17"/>
      <w:proofErr w:type="spellEnd"/>
      <w:r w:rsidR="00DE6AAB">
        <w:rPr>
          <w:rFonts w:ascii="Georgia" w:eastAsia="Georgia" w:hAnsi="Georgia" w:cs="Georgia"/>
          <w:b/>
          <w:bCs/>
          <w:color w:val="1B2340"/>
        </w:rPr>
        <w:t xml:space="preserve"> </w:t>
      </w:r>
    </w:p>
    <w:p w14:paraId="640F4B3F" w14:textId="74457D24" w:rsidR="009866CF" w:rsidRDefault="00000000">
      <w:pPr>
        <w:spacing w:after="160" w:line="288" w:lineRule="auto"/>
        <w:jc w:val="both"/>
      </w:pPr>
      <w:r>
        <w:rPr>
          <w:color w:val="222222"/>
        </w:rPr>
        <w:t xml:space="preserve">Cette section s'appuie sur l'article de </w:t>
      </w:r>
      <w:proofErr w:type="spellStart"/>
      <w:r>
        <w:rPr>
          <w:color w:val="222222"/>
        </w:rPr>
        <w:t>Vijayananda</w:t>
      </w:r>
      <w:proofErr w:type="spellEnd"/>
      <w:r>
        <w:rPr>
          <w:color w:val="222222"/>
        </w:rPr>
        <w:t xml:space="preserve"> Ratnam et al. </w:t>
      </w:r>
      <w:r w:rsidRPr="00D0019B">
        <w:rPr>
          <w:color w:val="222222"/>
          <w:lang w:val="en-US"/>
        </w:rPr>
        <w:t xml:space="preserve">(2024), « Intelligent Traffic System: YOLOv8 and </w:t>
      </w:r>
      <w:proofErr w:type="spellStart"/>
      <w:r w:rsidRPr="00D0019B">
        <w:rPr>
          <w:color w:val="222222"/>
          <w:lang w:val="en-US"/>
        </w:rPr>
        <w:t>DeepSORT</w:t>
      </w:r>
      <w:proofErr w:type="spellEnd"/>
      <w:r w:rsidRPr="00D0019B">
        <w:rPr>
          <w:color w:val="222222"/>
          <w:lang w:val="en-US"/>
        </w:rPr>
        <w:t xml:space="preserve"> in Car Detection, Tracking and Counting », </w:t>
      </w:r>
      <w:proofErr w:type="spellStart"/>
      <w:r w:rsidRPr="00D0019B">
        <w:rPr>
          <w:color w:val="222222"/>
          <w:lang w:val="en-US"/>
        </w:rPr>
        <w:t>publié</w:t>
      </w:r>
      <w:proofErr w:type="spellEnd"/>
      <w:r w:rsidRPr="00D0019B">
        <w:rPr>
          <w:color w:val="222222"/>
          <w:lang w:val="en-US"/>
        </w:rPr>
        <w:t xml:space="preserve"> dans IJRASET (International Journal for Research in Applied Science and Engineering Technology, DOI: 10.22214/ijraset.2024.59201). </w:t>
      </w:r>
      <w:r>
        <w:rPr>
          <w:color w:val="222222"/>
        </w:rPr>
        <w:t>Il s'agit d'une revue technique appliquée qui documente précisément la brique amont de notre pipeline (étapes 1 et 2 du cahier des charges) : détecter puis suivre les véhicules avant même de chercher à lire leur plaque.</w:t>
      </w:r>
    </w:p>
    <w:p w14:paraId="39C6AD05" w14:textId="77777777" w:rsidR="009866CF" w:rsidRDefault="00000000">
      <w:pPr>
        <w:pStyle w:val="Titre2"/>
        <w:spacing w:before="320" w:after="160"/>
      </w:pPr>
      <w:bookmarkStart w:id="18" w:name="_Toc235776294"/>
      <w:r>
        <w:rPr>
          <w:rFonts w:ascii="Georgia" w:eastAsia="Georgia" w:hAnsi="Georgia" w:cs="Georgia"/>
          <w:b/>
          <w:bCs/>
          <w:color w:val="2E3A66"/>
        </w:rPr>
        <w:t xml:space="preserve">3.1 Pourquoi le </w:t>
      </w:r>
      <w:proofErr w:type="spellStart"/>
      <w:r>
        <w:rPr>
          <w:rFonts w:ascii="Georgia" w:eastAsia="Georgia" w:hAnsi="Georgia" w:cs="Georgia"/>
          <w:b/>
          <w:bCs/>
          <w:color w:val="2E3A66"/>
        </w:rPr>
        <w:t>tracking</w:t>
      </w:r>
      <w:proofErr w:type="spellEnd"/>
      <w:r>
        <w:rPr>
          <w:rFonts w:ascii="Georgia" w:eastAsia="Georgia" w:hAnsi="Georgia" w:cs="Georgia"/>
          <w:b/>
          <w:bCs/>
          <w:color w:val="2E3A66"/>
        </w:rPr>
        <w:t xml:space="preserve"> est indispensable, au-delà de la simple détection</w:t>
      </w:r>
      <w:bookmarkEnd w:id="18"/>
    </w:p>
    <w:p w14:paraId="15E85955" w14:textId="77777777" w:rsidR="009866CF" w:rsidRDefault="00000000">
      <w:pPr>
        <w:spacing w:after="160" w:line="288" w:lineRule="auto"/>
        <w:jc w:val="both"/>
      </w:pPr>
      <w:r>
        <w:rPr>
          <w:color w:val="222222"/>
        </w:rPr>
        <w:t xml:space="preserve">Un détecteur d'objets comme YOLO identifie les véhicules image par image, sans mémoire du passé : rien ne garantit qu'un même véhicule détecté à l'image N soit reconnu comme le même véhicule à l'image N+1. Le </w:t>
      </w:r>
      <w:proofErr w:type="spellStart"/>
      <w:r>
        <w:rPr>
          <w:color w:val="222222"/>
        </w:rPr>
        <w:t>tracking</w:t>
      </w:r>
      <w:proofErr w:type="spellEnd"/>
      <w:r>
        <w:rPr>
          <w:color w:val="222222"/>
        </w:rPr>
        <w:t xml:space="preserve"> multi-objets résout ce problème en attribuant une identité stable à chaque véhicule et en la maintenant à travers la séquence vidéo, y compris lors d'occlusions temporaires (un véhicule caché par un autre, un poteau, ou sorti brièvement du champ de la caméra).</w:t>
      </w:r>
    </w:p>
    <w:p w14:paraId="0DB7D46B" w14:textId="77777777" w:rsidR="009866CF" w:rsidRDefault="00000000">
      <w:pPr>
        <w:spacing w:after="160" w:line="288" w:lineRule="auto"/>
        <w:jc w:val="both"/>
      </w:pPr>
      <w:r>
        <w:rPr>
          <w:color w:val="222222"/>
        </w:rPr>
        <w:t xml:space="preserve">Pour notre projet, cette continuité d'identité est la condition sine qua non pour qualifier une infraction correctement : sans </w:t>
      </w:r>
      <w:proofErr w:type="spellStart"/>
      <w:r>
        <w:rPr>
          <w:color w:val="222222"/>
        </w:rPr>
        <w:t>tracking</w:t>
      </w:r>
      <w:proofErr w:type="spellEnd"/>
      <w:r>
        <w:rPr>
          <w:color w:val="222222"/>
        </w:rPr>
        <w:t xml:space="preserve"> fiable, un franchissement de ligne pourrait être attribué au mauvais véhicule, ou compté plusieurs fois pour un même véhicule.</w:t>
      </w:r>
    </w:p>
    <w:p w14:paraId="605CCBBC" w14:textId="77777777" w:rsidR="009866CF" w:rsidRDefault="00000000">
      <w:pPr>
        <w:pStyle w:val="Titre2"/>
        <w:spacing w:before="320" w:after="160"/>
      </w:pPr>
      <w:bookmarkStart w:id="19" w:name="_Toc235776295"/>
      <w:r>
        <w:rPr>
          <w:rFonts w:ascii="Georgia" w:eastAsia="Georgia" w:hAnsi="Georgia" w:cs="Georgia"/>
          <w:b/>
          <w:bCs/>
          <w:color w:val="2E3A66"/>
        </w:rPr>
        <w:t>3.2 Architecture de YOLOv8</w:t>
      </w:r>
      <w:bookmarkEnd w:id="19"/>
    </w:p>
    <w:p w14:paraId="6300D458" w14:textId="074EA9E3" w:rsidR="009866CF" w:rsidRDefault="00000000">
      <w:pPr>
        <w:spacing w:after="160" w:line="288" w:lineRule="auto"/>
        <w:jc w:val="both"/>
      </w:pPr>
      <w:r>
        <w:rPr>
          <w:color w:val="222222"/>
        </w:rPr>
        <w:t>YOLOv8 (« You Only Look Once », 8ᵉ génération) est un détecteur d'objets one-stage : il divise l'image en une grille de cellules et prédit, pour chaque cellule, des boîtes englobantes (</w:t>
      </w:r>
      <w:proofErr w:type="spellStart"/>
      <w:r>
        <w:rPr>
          <w:color w:val="222222"/>
        </w:rPr>
        <w:t>bounding</w:t>
      </w:r>
      <w:proofErr w:type="spellEnd"/>
      <w:r>
        <w:rPr>
          <w:color w:val="222222"/>
        </w:rPr>
        <w:t xml:space="preserve"> boxes) paramétrées par leurs coordonnées (x, y, largeur, hauteur) ainsi que des probabilités de classe le tout en une seule passe du réseau, d'où sa rapidité pour le traitement en temps réel.</w:t>
      </w:r>
    </w:p>
    <w:p w14:paraId="31DF2722" w14:textId="77777777" w:rsidR="009866CF" w:rsidRDefault="00000000">
      <w:pPr>
        <w:pStyle w:val="Paragraphedeliste"/>
        <w:numPr>
          <w:ilvl w:val="0"/>
          <w:numId w:val="1"/>
        </w:numPr>
        <w:spacing w:after="100" w:line="276" w:lineRule="auto"/>
      </w:pPr>
      <w:r>
        <w:t>Backbone (CSPDarknet53) : extrait les caractéristiques visuelles de l'image à différentes échelles.</w:t>
      </w:r>
    </w:p>
    <w:p w14:paraId="58ED2428" w14:textId="77777777" w:rsidR="009866CF" w:rsidRDefault="00000000">
      <w:pPr>
        <w:pStyle w:val="Paragraphedeliste"/>
        <w:numPr>
          <w:ilvl w:val="0"/>
          <w:numId w:val="1"/>
        </w:numPr>
        <w:spacing w:after="100" w:line="276" w:lineRule="auto"/>
      </w:pPr>
      <w:r>
        <w:t>Tête de détection (</w:t>
      </w:r>
      <w:proofErr w:type="spellStart"/>
      <w:r>
        <w:t>head</w:t>
      </w:r>
      <w:proofErr w:type="spellEnd"/>
      <w:r>
        <w:t>) : plusieurs couches convolutives qui prédisent les boîtes et les classes.</w:t>
      </w:r>
    </w:p>
    <w:p w14:paraId="1C910673" w14:textId="77777777" w:rsidR="009866CF" w:rsidRDefault="00000000">
      <w:pPr>
        <w:pStyle w:val="Paragraphedeliste"/>
        <w:numPr>
          <w:ilvl w:val="0"/>
          <w:numId w:val="1"/>
        </w:numPr>
        <w:spacing w:after="100" w:line="276" w:lineRule="auto"/>
      </w:pPr>
      <w:proofErr w:type="spellStart"/>
      <w:r>
        <w:t>Feature</w:t>
      </w:r>
      <w:proofErr w:type="spellEnd"/>
      <w:r>
        <w:t xml:space="preserve"> </w:t>
      </w:r>
      <w:proofErr w:type="spellStart"/>
      <w:r>
        <w:t>Pyramid</w:t>
      </w:r>
      <w:proofErr w:type="spellEnd"/>
      <w:r>
        <w:t xml:space="preserve"> Network : permet de détecter des objets de tailles très différentes (une moto proche vs. </w:t>
      </w:r>
      <w:proofErr w:type="gramStart"/>
      <w:r>
        <w:t>un</w:t>
      </w:r>
      <w:proofErr w:type="gramEnd"/>
      <w:r>
        <w:t xml:space="preserve"> camion lointain).</w:t>
      </w:r>
    </w:p>
    <w:p w14:paraId="02B11D2F" w14:textId="77777777" w:rsidR="009866CF" w:rsidRDefault="00000000">
      <w:pPr>
        <w:pStyle w:val="Paragraphedeliste"/>
        <w:numPr>
          <w:ilvl w:val="0"/>
          <w:numId w:val="1"/>
        </w:numPr>
        <w:spacing w:after="100" w:line="276" w:lineRule="auto"/>
      </w:pPr>
      <w:r>
        <w:t>Fonction de perte : erreur quadratique moyenne pour la localisation des boîtes, entropie croisée binaire pour la classification.</w:t>
      </w:r>
    </w:p>
    <w:p w14:paraId="5FB9386A" w14:textId="77777777" w:rsidR="009866CF" w:rsidRDefault="00000000">
      <w:pPr>
        <w:pStyle w:val="Paragraphedeliste"/>
        <w:numPr>
          <w:ilvl w:val="0"/>
          <w:numId w:val="1"/>
        </w:numPr>
        <w:spacing w:after="100" w:line="276" w:lineRule="auto"/>
      </w:pPr>
      <w:r>
        <w:t>Non-Maximum Suppression (NMS) : élimine les détections redondantes en utilisant l'</w:t>
      </w:r>
      <w:proofErr w:type="spellStart"/>
      <w:r>
        <w:t>IoU</w:t>
      </w:r>
      <w:proofErr w:type="spellEnd"/>
      <w:r>
        <w:t xml:space="preserve"> (Intersection over Union = aire d'intersection / aire d'union) pour ne garder que la meilleure boîte par objet.</w:t>
      </w:r>
    </w:p>
    <w:p w14:paraId="5FB61805" w14:textId="77777777" w:rsidR="009866CF" w:rsidRDefault="00000000">
      <w:pPr>
        <w:pStyle w:val="Titre2"/>
        <w:spacing w:before="320" w:after="160"/>
      </w:pPr>
      <w:bookmarkStart w:id="20" w:name="_Toc235776296"/>
      <w:r>
        <w:rPr>
          <w:rFonts w:ascii="Georgia" w:eastAsia="Georgia" w:hAnsi="Georgia" w:cs="Georgia"/>
          <w:b/>
          <w:bCs/>
          <w:color w:val="2E3A66"/>
        </w:rPr>
        <w:t xml:space="preserve">3.3 Le principe de </w:t>
      </w:r>
      <w:proofErr w:type="spellStart"/>
      <w:r>
        <w:rPr>
          <w:rFonts w:ascii="Georgia" w:eastAsia="Georgia" w:hAnsi="Georgia" w:cs="Georgia"/>
          <w:b/>
          <w:bCs/>
          <w:color w:val="2E3A66"/>
        </w:rPr>
        <w:t>DeepSORT</w:t>
      </w:r>
      <w:bookmarkEnd w:id="20"/>
      <w:proofErr w:type="spellEnd"/>
    </w:p>
    <w:p w14:paraId="67C45CAB" w14:textId="77777777" w:rsidR="009866CF" w:rsidRDefault="00000000">
      <w:pPr>
        <w:spacing w:after="160" w:line="288" w:lineRule="auto"/>
        <w:jc w:val="both"/>
      </w:pPr>
      <w:proofErr w:type="spellStart"/>
      <w:r>
        <w:rPr>
          <w:color w:val="222222"/>
        </w:rPr>
        <w:t>DeepSORT</w:t>
      </w:r>
      <w:proofErr w:type="spellEnd"/>
      <w:r>
        <w:rPr>
          <w:color w:val="222222"/>
        </w:rPr>
        <w:t xml:space="preserve"> (Simple Online and </w:t>
      </w:r>
      <w:proofErr w:type="spellStart"/>
      <w:r>
        <w:rPr>
          <w:color w:val="222222"/>
        </w:rPr>
        <w:t>Realtime</w:t>
      </w:r>
      <w:proofErr w:type="spellEnd"/>
      <w:r>
        <w:rPr>
          <w:color w:val="222222"/>
        </w:rPr>
        <w:t xml:space="preserve"> </w:t>
      </w:r>
      <w:proofErr w:type="spellStart"/>
      <w:r>
        <w:rPr>
          <w:color w:val="222222"/>
        </w:rPr>
        <w:t>Tracking</w:t>
      </w:r>
      <w:proofErr w:type="spellEnd"/>
      <w:r>
        <w:rPr>
          <w:color w:val="222222"/>
        </w:rPr>
        <w:t xml:space="preserve"> </w:t>
      </w:r>
      <w:proofErr w:type="spellStart"/>
      <w:r>
        <w:rPr>
          <w:color w:val="222222"/>
        </w:rPr>
        <w:t>with</w:t>
      </w:r>
      <w:proofErr w:type="spellEnd"/>
      <w:r>
        <w:rPr>
          <w:color w:val="222222"/>
        </w:rPr>
        <w:t xml:space="preserve"> a Deep Association </w:t>
      </w:r>
      <w:proofErr w:type="spellStart"/>
      <w:r>
        <w:rPr>
          <w:color w:val="222222"/>
        </w:rPr>
        <w:t>Metric</w:t>
      </w:r>
      <w:proofErr w:type="spellEnd"/>
      <w:r>
        <w:rPr>
          <w:color w:val="222222"/>
        </w:rPr>
        <w:t>) est une extension de l'algorithme SORT, enrichie d'un descripteur d'apparence appris par réseau de neurones. Le principe se décompose en trois étapes :</w:t>
      </w:r>
    </w:p>
    <w:p w14:paraId="7323F8B0" w14:textId="77777777" w:rsidR="009866CF" w:rsidRDefault="00000000">
      <w:pPr>
        <w:pStyle w:val="Paragraphedeliste"/>
        <w:numPr>
          <w:ilvl w:val="0"/>
          <w:numId w:val="1"/>
        </w:numPr>
        <w:spacing w:after="100" w:line="276" w:lineRule="auto"/>
      </w:pPr>
      <w:r>
        <w:t>1. Estimation d'état : un filtre de Kalman prédit la position, l'échelle et le ratio d'aspect de chaque véhicule suivi à partir de ses observations précédentes.</w:t>
      </w:r>
    </w:p>
    <w:p w14:paraId="46087FB5" w14:textId="77777777" w:rsidR="009866CF" w:rsidRDefault="00000000">
      <w:pPr>
        <w:pStyle w:val="Paragraphedeliste"/>
        <w:numPr>
          <w:ilvl w:val="0"/>
          <w:numId w:val="1"/>
        </w:numPr>
        <w:spacing w:after="100" w:line="276" w:lineRule="auto"/>
      </w:pPr>
      <w:r>
        <w:t>2. Association cible-détection : l'algorithme hongrois (</w:t>
      </w:r>
      <w:proofErr w:type="spellStart"/>
      <w:r>
        <w:t>Hungarian</w:t>
      </w:r>
      <w:proofErr w:type="spellEnd"/>
      <w:r>
        <w:t xml:space="preserve"> </w:t>
      </w:r>
      <w:proofErr w:type="spellStart"/>
      <w:r>
        <w:t>algorithm</w:t>
      </w:r>
      <w:proofErr w:type="spellEnd"/>
      <w:r>
        <w:t>) associe chaque nouvelle détection à une trajectoire existante, en combinant la proximité de mouvement (Kalman) et la similarité d'apparence (vecteur de caractéristiques visuelles).</w:t>
      </w:r>
    </w:p>
    <w:p w14:paraId="4F1821B0" w14:textId="77777777" w:rsidR="009866CF" w:rsidRDefault="00000000">
      <w:pPr>
        <w:pStyle w:val="Paragraphedeliste"/>
        <w:numPr>
          <w:ilvl w:val="0"/>
          <w:numId w:val="1"/>
        </w:numPr>
        <w:spacing w:after="100" w:line="276" w:lineRule="auto"/>
      </w:pPr>
      <w:r>
        <w:t xml:space="preserve">3. Gestion des identités : de nouvelles identités sont créées pour les véhicules entrants, et les identités des véhicules sortants sont supprimées ; le seuil </w:t>
      </w:r>
      <w:proofErr w:type="spellStart"/>
      <w:r>
        <w:t>IoUmin</w:t>
      </w:r>
      <w:proofErr w:type="spellEnd"/>
      <w:r>
        <w:t xml:space="preserve"> détermine les associations valides.</w:t>
      </w:r>
    </w:p>
    <w:p w14:paraId="6BD13C18" w14:textId="53C95978" w:rsidR="009866CF" w:rsidRDefault="00000000">
      <w:pPr>
        <w:spacing w:after="160" w:line="288" w:lineRule="auto"/>
        <w:jc w:val="both"/>
      </w:pPr>
      <w:r>
        <w:rPr>
          <w:color w:val="222222"/>
        </w:rPr>
        <w:t xml:space="preserve">L'apport principal de </w:t>
      </w:r>
      <w:proofErr w:type="spellStart"/>
      <w:r>
        <w:rPr>
          <w:color w:val="222222"/>
        </w:rPr>
        <w:t>DeepSORT</w:t>
      </w:r>
      <w:proofErr w:type="spellEnd"/>
      <w:r>
        <w:rPr>
          <w:color w:val="222222"/>
        </w:rPr>
        <w:t xml:space="preserve"> par rapport au SORT classique est cette « signature visuelle » du véhicule (couleur, forme, texture), qui permet de </w:t>
      </w:r>
      <w:proofErr w:type="spellStart"/>
      <w:r>
        <w:rPr>
          <w:color w:val="222222"/>
        </w:rPr>
        <w:t>ré-identifier</w:t>
      </w:r>
      <w:proofErr w:type="spellEnd"/>
      <w:r>
        <w:rPr>
          <w:color w:val="222222"/>
        </w:rPr>
        <w:t xml:space="preserve"> un véhicule après une occlusion un cas fréquent en circulation dense, très pertinent pour les scènes urbaines de Cotonou avec forte densité de deux-roues.</w:t>
      </w:r>
    </w:p>
    <w:tbl>
      <w:tblPr>
        <w:tblW w:w="5000" w:type="pct"/>
        <w:tblBorders>
          <w:top w:val="single" w:sz="6" w:space="0" w:color="6C5CA6"/>
          <w:left w:val="single" w:sz="24" w:space="0" w:color="6C5CA6"/>
          <w:bottom w:val="single" w:sz="6" w:space="0" w:color="6C5CA6"/>
          <w:right w:val="single" w:sz="6" w:space="0" w:color="6C5CA6"/>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2C30ADCC" w14:textId="77777777">
        <w:tblPrEx>
          <w:tblCellMar>
            <w:top w:w="0" w:type="dxa"/>
            <w:bottom w:w="0" w:type="dxa"/>
          </w:tblCellMar>
        </w:tblPrEx>
        <w:tc>
          <w:tcPr>
            <w:tcW w:w="0" w:type="auto"/>
            <w:shd w:val="clear" w:color="auto" w:fill="EFEAFB"/>
            <w:tcMar>
              <w:top w:w="160" w:type="dxa"/>
              <w:left w:w="220" w:type="dxa"/>
              <w:bottom w:w="160" w:type="dxa"/>
              <w:right w:w="220" w:type="dxa"/>
            </w:tcMar>
          </w:tcPr>
          <w:p w14:paraId="54FB58C8" w14:textId="5F75B919" w:rsidR="009866CF" w:rsidRDefault="00000000">
            <w:pPr>
              <w:spacing w:after="100"/>
            </w:pPr>
            <w:r>
              <w:rPr>
                <w:b/>
                <w:bCs/>
                <w:color w:val="1B2340"/>
                <w:sz w:val="21"/>
                <w:szCs w:val="21"/>
              </w:rPr>
              <w:t xml:space="preserve">✦ À RETENIR </w:t>
            </w:r>
            <w:r w:rsidR="00DE6AAB">
              <w:rPr>
                <w:b/>
                <w:bCs/>
                <w:color w:val="1B2340"/>
                <w:sz w:val="21"/>
                <w:szCs w:val="21"/>
              </w:rPr>
              <w:t>-</w:t>
            </w:r>
            <w:r>
              <w:rPr>
                <w:b/>
                <w:bCs/>
                <w:color w:val="1B2340"/>
                <w:sz w:val="21"/>
                <w:szCs w:val="21"/>
              </w:rPr>
              <w:t xml:space="preserve"> YOLOv8 + </w:t>
            </w:r>
            <w:proofErr w:type="spellStart"/>
            <w:r>
              <w:rPr>
                <w:b/>
                <w:bCs/>
                <w:color w:val="1B2340"/>
                <w:sz w:val="21"/>
                <w:szCs w:val="21"/>
              </w:rPr>
              <w:t>DeepSORT</w:t>
            </w:r>
            <w:proofErr w:type="spellEnd"/>
            <w:r>
              <w:rPr>
                <w:b/>
                <w:bCs/>
                <w:color w:val="1B2340"/>
                <w:sz w:val="21"/>
                <w:szCs w:val="21"/>
              </w:rPr>
              <w:t xml:space="preserve"> en une phrase</w:t>
            </w:r>
          </w:p>
          <w:p w14:paraId="4989D86F" w14:textId="77777777" w:rsidR="009866CF" w:rsidRDefault="00000000">
            <w:pPr>
              <w:pStyle w:val="Paragraphedeliste"/>
              <w:numPr>
                <w:ilvl w:val="0"/>
                <w:numId w:val="1"/>
              </w:numPr>
              <w:spacing w:after="60"/>
            </w:pPr>
            <w:r>
              <w:rPr>
                <w:color w:val="222222"/>
                <w:sz w:val="20"/>
                <w:szCs w:val="20"/>
              </w:rPr>
              <w:t>YOLOv8 répond à la question « où sont les véhicules dans cette image ? ».</w:t>
            </w:r>
          </w:p>
          <w:p w14:paraId="4840E3C1" w14:textId="77777777" w:rsidR="009866CF" w:rsidRDefault="00000000">
            <w:pPr>
              <w:pStyle w:val="Paragraphedeliste"/>
              <w:numPr>
                <w:ilvl w:val="0"/>
                <w:numId w:val="1"/>
              </w:numPr>
              <w:spacing w:after="60"/>
            </w:pPr>
            <w:proofErr w:type="spellStart"/>
            <w:r>
              <w:rPr>
                <w:color w:val="222222"/>
                <w:sz w:val="20"/>
                <w:szCs w:val="20"/>
              </w:rPr>
              <w:t>DeepSORT</w:t>
            </w:r>
            <w:proofErr w:type="spellEnd"/>
            <w:r>
              <w:rPr>
                <w:color w:val="222222"/>
                <w:sz w:val="20"/>
                <w:szCs w:val="20"/>
              </w:rPr>
              <w:t xml:space="preserve"> répond à la question « est-ce le même véhicule qu'à l'image précédente ? ».</w:t>
            </w:r>
          </w:p>
          <w:p w14:paraId="7C6E3D40" w14:textId="1F131C6B" w:rsidR="009866CF" w:rsidRDefault="00000000">
            <w:pPr>
              <w:pStyle w:val="Paragraphedeliste"/>
              <w:numPr>
                <w:ilvl w:val="0"/>
                <w:numId w:val="1"/>
              </w:numPr>
              <w:spacing w:after="60"/>
            </w:pPr>
            <w:r>
              <w:rPr>
                <w:color w:val="222222"/>
                <w:sz w:val="20"/>
                <w:szCs w:val="20"/>
              </w:rPr>
              <w:t>Ensemble, ils permettent de compter, suivre une trajectoire, et dans notre cas de savoir quel véhicule associer à quelle plaque lue et à quelle infraction.</w:t>
            </w:r>
          </w:p>
        </w:tc>
      </w:tr>
    </w:tbl>
    <w:p w14:paraId="6288342A" w14:textId="77777777" w:rsidR="009866CF" w:rsidRDefault="00000000">
      <w:pPr>
        <w:pStyle w:val="Titre2"/>
        <w:spacing w:before="320" w:after="160"/>
      </w:pPr>
      <w:bookmarkStart w:id="21" w:name="_Toc235776297"/>
      <w:r>
        <w:rPr>
          <w:rFonts w:ascii="Georgia" w:eastAsia="Georgia" w:hAnsi="Georgia" w:cs="Georgia"/>
          <w:b/>
          <w:bCs/>
          <w:color w:val="2E3A66"/>
        </w:rPr>
        <w:t>3.4 Métriques d'évaluation retenues</w:t>
      </w:r>
      <w:bookmarkEnd w:id="21"/>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900"/>
        <w:gridCol w:w="4400"/>
        <w:gridCol w:w="3050"/>
      </w:tblGrid>
      <w:tr w:rsidR="009866CF" w14:paraId="7875EB6D" w14:textId="77777777">
        <w:tblPrEx>
          <w:tblCellMar>
            <w:top w:w="0" w:type="dxa"/>
            <w:bottom w:w="0" w:type="dxa"/>
          </w:tblCellMar>
        </w:tblPrEx>
        <w:trPr>
          <w:tblHeader/>
        </w:trPr>
        <w:tc>
          <w:tcPr>
            <w:tcW w:w="1900" w:type="dxa"/>
            <w:shd w:val="clear" w:color="auto" w:fill="1B2340"/>
            <w:tcMar>
              <w:top w:w="100" w:type="dxa"/>
              <w:left w:w="120" w:type="dxa"/>
              <w:bottom w:w="100" w:type="dxa"/>
              <w:right w:w="120" w:type="dxa"/>
            </w:tcMar>
            <w:vAlign w:val="center"/>
          </w:tcPr>
          <w:p w14:paraId="1E460CEC" w14:textId="77777777" w:rsidR="009866CF" w:rsidRDefault="00000000">
            <w:r>
              <w:rPr>
                <w:b/>
                <w:bCs/>
                <w:color w:val="FFFFFF"/>
                <w:sz w:val="19"/>
                <w:szCs w:val="19"/>
              </w:rPr>
              <w:t>Métrique</w:t>
            </w:r>
          </w:p>
        </w:tc>
        <w:tc>
          <w:tcPr>
            <w:tcW w:w="4400" w:type="dxa"/>
            <w:shd w:val="clear" w:color="auto" w:fill="1B2340"/>
            <w:tcMar>
              <w:top w:w="100" w:type="dxa"/>
              <w:left w:w="120" w:type="dxa"/>
              <w:bottom w:w="100" w:type="dxa"/>
              <w:right w:w="120" w:type="dxa"/>
            </w:tcMar>
            <w:vAlign w:val="center"/>
          </w:tcPr>
          <w:p w14:paraId="006A6F2A" w14:textId="77777777" w:rsidR="009866CF" w:rsidRDefault="00000000">
            <w:r>
              <w:rPr>
                <w:b/>
                <w:bCs/>
                <w:color w:val="FFFFFF"/>
                <w:sz w:val="19"/>
                <w:szCs w:val="19"/>
              </w:rPr>
              <w:t>Définition</w:t>
            </w:r>
          </w:p>
        </w:tc>
        <w:tc>
          <w:tcPr>
            <w:tcW w:w="3050" w:type="dxa"/>
            <w:shd w:val="clear" w:color="auto" w:fill="1B2340"/>
            <w:tcMar>
              <w:top w:w="100" w:type="dxa"/>
              <w:left w:w="120" w:type="dxa"/>
              <w:bottom w:w="100" w:type="dxa"/>
              <w:right w:w="120" w:type="dxa"/>
            </w:tcMar>
            <w:vAlign w:val="center"/>
          </w:tcPr>
          <w:p w14:paraId="0E373EEE" w14:textId="77777777" w:rsidR="009866CF" w:rsidRDefault="00000000">
            <w:r>
              <w:rPr>
                <w:b/>
                <w:bCs/>
                <w:color w:val="FFFFFF"/>
                <w:sz w:val="19"/>
                <w:szCs w:val="19"/>
              </w:rPr>
              <w:t>Utilité pour notre rapport de performance</w:t>
            </w:r>
          </w:p>
        </w:tc>
      </w:tr>
      <w:tr w:rsidR="009866CF" w14:paraId="6582629A"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5ED5BE6D" w14:textId="77777777" w:rsidR="009866CF" w:rsidRDefault="00000000">
            <w:r>
              <w:rPr>
                <w:sz w:val="18"/>
                <w:szCs w:val="18"/>
              </w:rPr>
              <w:t>Précision (P)</w:t>
            </w:r>
          </w:p>
        </w:tc>
        <w:tc>
          <w:tcPr>
            <w:tcW w:w="4400" w:type="dxa"/>
            <w:shd w:val="clear" w:color="auto" w:fill="FFFFFF"/>
            <w:tcMar>
              <w:top w:w="90" w:type="dxa"/>
              <w:left w:w="120" w:type="dxa"/>
              <w:bottom w:w="90" w:type="dxa"/>
              <w:right w:w="120" w:type="dxa"/>
            </w:tcMar>
            <w:vAlign w:val="center"/>
          </w:tcPr>
          <w:p w14:paraId="48F74D90" w14:textId="77777777" w:rsidR="009866CF" w:rsidRDefault="00000000">
            <w:r>
              <w:rPr>
                <w:sz w:val="18"/>
                <w:szCs w:val="18"/>
              </w:rPr>
              <w:t>Proportion de détections correctes parmi toutes les détections faites</w:t>
            </w:r>
          </w:p>
        </w:tc>
        <w:tc>
          <w:tcPr>
            <w:tcW w:w="3050" w:type="dxa"/>
            <w:shd w:val="clear" w:color="auto" w:fill="FFFFFF"/>
            <w:tcMar>
              <w:top w:w="90" w:type="dxa"/>
              <w:left w:w="120" w:type="dxa"/>
              <w:bottom w:w="90" w:type="dxa"/>
              <w:right w:w="120" w:type="dxa"/>
            </w:tcMar>
            <w:vAlign w:val="center"/>
          </w:tcPr>
          <w:p w14:paraId="526771B7" w14:textId="77777777" w:rsidR="009866CF" w:rsidRDefault="00000000">
            <w:r>
              <w:rPr>
                <w:sz w:val="18"/>
                <w:szCs w:val="18"/>
              </w:rPr>
              <w:t>Mesure le taux de fausses alertes (faux positifs d'infraction)</w:t>
            </w:r>
          </w:p>
        </w:tc>
      </w:tr>
      <w:tr w:rsidR="009866CF" w14:paraId="7AABF1EA"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560DA814" w14:textId="77777777" w:rsidR="009866CF" w:rsidRDefault="00000000">
            <w:r>
              <w:rPr>
                <w:sz w:val="18"/>
                <w:szCs w:val="18"/>
              </w:rPr>
              <w:t>Rappel (R)</w:t>
            </w:r>
          </w:p>
        </w:tc>
        <w:tc>
          <w:tcPr>
            <w:tcW w:w="4400" w:type="dxa"/>
            <w:shd w:val="clear" w:color="auto" w:fill="F2F2F2"/>
            <w:tcMar>
              <w:top w:w="90" w:type="dxa"/>
              <w:left w:w="120" w:type="dxa"/>
              <w:bottom w:w="90" w:type="dxa"/>
              <w:right w:w="120" w:type="dxa"/>
            </w:tcMar>
            <w:vAlign w:val="center"/>
          </w:tcPr>
          <w:p w14:paraId="64F5E3F3" w14:textId="77777777" w:rsidR="009866CF" w:rsidRDefault="00000000">
            <w:r>
              <w:rPr>
                <w:sz w:val="18"/>
                <w:szCs w:val="18"/>
              </w:rPr>
              <w:t>Proportion de véhicules réels effectivement détectés</w:t>
            </w:r>
          </w:p>
        </w:tc>
        <w:tc>
          <w:tcPr>
            <w:tcW w:w="3050" w:type="dxa"/>
            <w:shd w:val="clear" w:color="auto" w:fill="F2F2F2"/>
            <w:tcMar>
              <w:top w:w="90" w:type="dxa"/>
              <w:left w:w="120" w:type="dxa"/>
              <w:bottom w:w="90" w:type="dxa"/>
              <w:right w:w="120" w:type="dxa"/>
            </w:tcMar>
            <w:vAlign w:val="center"/>
          </w:tcPr>
          <w:p w14:paraId="4836D591" w14:textId="77777777" w:rsidR="009866CF" w:rsidRDefault="00000000">
            <w:r>
              <w:rPr>
                <w:sz w:val="18"/>
                <w:szCs w:val="18"/>
              </w:rPr>
              <w:t>Mesure les véhicules manqués (angle mort deux-roues notamment)</w:t>
            </w:r>
          </w:p>
        </w:tc>
      </w:tr>
      <w:tr w:rsidR="009866CF" w14:paraId="67644D88" w14:textId="77777777">
        <w:tblPrEx>
          <w:tblCellMar>
            <w:top w:w="0" w:type="dxa"/>
            <w:bottom w:w="0" w:type="dxa"/>
          </w:tblCellMar>
        </w:tblPrEx>
        <w:tc>
          <w:tcPr>
            <w:tcW w:w="1900" w:type="dxa"/>
            <w:shd w:val="clear" w:color="auto" w:fill="FFFFFF"/>
            <w:tcMar>
              <w:top w:w="90" w:type="dxa"/>
              <w:left w:w="120" w:type="dxa"/>
              <w:bottom w:w="90" w:type="dxa"/>
              <w:right w:w="120" w:type="dxa"/>
            </w:tcMar>
            <w:vAlign w:val="center"/>
          </w:tcPr>
          <w:p w14:paraId="316CA0D5" w14:textId="77777777" w:rsidR="009866CF" w:rsidRDefault="00000000">
            <w:r>
              <w:rPr>
                <w:sz w:val="18"/>
                <w:szCs w:val="18"/>
              </w:rPr>
              <w:t>mAP@0.50</w:t>
            </w:r>
          </w:p>
        </w:tc>
        <w:tc>
          <w:tcPr>
            <w:tcW w:w="4400" w:type="dxa"/>
            <w:shd w:val="clear" w:color="auto" w:fill="FFFFFF"/>
            <w:tcMar>
              <w:top w:w="90" w:type="dxa"/>
              <w:left w:w="120" w:type="dxa"/>
              <w:bottom w:w="90" w:type="dxa"/>
              <w:right w:w="120" w:type="dxa"/>
            </w:tcMar>
            <w:vAlign w:val="center"/>
          </w:tcPr>
          <w:p w14:paraId="2F62EAEA" w14:textId="77777777" w:rsidR="009866CF" w:rsidRDefault="00000000">
            <w:r>
              <w:rPr>
                <w:sz w:val="18"/>
                <w:szCs w:val="18"/>
              </w:rPr>
              <w:t xml:space="preserve">Précision moyenne avec seuil </w:t>
            </w:r>
            <w:proofErr w:type="spellStart"/>
            <w:r>
              <w:rPr>
                <w:sz w:val="18"/>
                <w:szCs w:val="18"/>
              </w:rPr>
              <w:t>IoU</w:t>
            </w:r>
            <w:proofErr w:type="spellEnd"/>
            <w:r>
              <w:rPr>
                <w:sz w:val="18"/>
                <w:szCs w:val="18"/>
              </w:rPr>
              <w:t xml:space="preserve"> de 0,50</w:t>
            </w:r>
          </w:p>
        </w:tc>
        <w:tc>
          <w:tcPr>
            <w:tcW w:w="3050" w:type="dxa"/>
            <w:shd w:val="clear" w:color="auto" w:fill="FFFFFF"/>
            <w:tcMar>
              <w:top w:w="90" w:type="dxa"/>
              <w:left w:w="120" w:type="dxa"/>
              <w:bottom w:w="90" w:type="dxa"/>
              <w:right w:w="120" w:type="dxa"/>
            </w:tcMar>
            <w:vAlign w:val="center"/>
          </w:tcPr>
          <w:p w14:paraId="00DADD31" w14:textId="77777777" w:rsidR="009866CF" w:rsidRDefault="00000000">
            <w:r>
              <w:rPr>
                <w:sz w:val="18"/>
                <w:szCs w:val="18"/>
              </w:rPr>
              <w:t>Cas de détection « faciles », référence standard du cahier des charges</w:t>
            </w:r>
          </w:p>
        </w:tc>
      </w:tr>
      <w:tr w:rsidR="009866CF" w14:paraId="4F0F3FB9" w14:textId="77777777">
        <w:tblPrEx>
          <w:tblCellMar>
            <w:top w:w="0" w:type="dxa"/>
            <w:bottom w:w="0" w:type="dxa"/>
          </w:tblCellMar>
        </w:tblPrEx>
        <w:tc>
          <w:tcPr>
            <w:tcW w:w="1900" w:type="dxa"/>
            <w:shd w:val="clear" w:color="auto" w:fill="F2F2F2"/>
            <w:tcMar>
              <w:top w:w="90" w:type="dxa"/>
              <w:left w:w="120" w:type="dxa"/>
              <w:bottom w:w="90" w:type="dxa"/>
              <w:right w:w="120" w:type="dxa"/>
            </w:tcMar>
            <w:vAlign w:val="center"/>
          </w:tcPr>
          <w:p w14:paraId="0DFF451C" w14:textId="77777777" w:rsidR="009866CF" w:rsidRDefault="00000000">
            <w:r>
              <w:rPr>
                <w:sz w:val="18"/>
                <w:szCs w:val="18"/>
              </w:rPr>
              <w:t>mAP@0.50-0.95</w:t>
            </w:r>
          </w:p>
        </w:tc>
        <w:tc>
          <w:tcPr>
            <w:tcW w:w="4400" w:type="dxa"/>
            <w:shd w:val="clear" w:color="auto" w:fill="F2F2F2"/>
            <w:tcMar>
              <w:top w:w="90" w:type="dxa"/>
              <w:left w:w="120" w:type="dxa"/>
              <w:bottom w:w="90" w:type="dxa"/>
              <w:right w:w="120" w:type="dxa"/>
            </w:tcMar>
            <w:vAlign w:val="center"/>
          </w:tcPr>
          <w:p w14:paraId="150AF4ED" w14:textId="77777777" w:rsidR="009866CF" w:rsidRDefault="00000000">
            <w:r>
              <w:rPr>
                <w:sz w:val="18"/>
                <w:szCs w:val="18"/>
              </w:rPr>
              <w:t xml:space="preserve">Moyenne de la précision sur plusieurs seuils </w:t>
            </w:r>
            <w:proofErr w:type="spellStart"/>
            <w:r>
              <w:rPr>
                <w:sz w:val="18"/>
                <w:szCs w:val="18"/>
              </w:rPr>
              <w:t>IoU</w:t>
            </w:r>
            <w:proofErr w:type="spellEnd"/>
            <w:r>
              <w:rPr>
                <w:sz w:val="18"/>
                <w:szCs w:val="18"/>
              </w:rPr>
              <w:t xml:space="preserve"> (0,50 à 0,95)</w:t>
            </w:r>
          </w:p>
        </w:tc>
        <w:tc>
          <w:tcPr>
            <w:tcW w:w="3050" w:type="dxa"/>
            <w:shd w:val="clear" w:color="auto" w:fill="F2F2F2"/>
            <w:tcMar>
              <w:top w:w="90" w:type="dxa"/>
              <w:left w:w="120" w:type="dxa"/>
              <w:bottom w:w="90" w:type="dxa"/>
              <w:right w:w="120" w:type="dxa"/>
            </w:tcMar>
            <w:vAlign w:val="center"/>
          </w:tcPr>
          <w:p w14:paraId="6062F2F3" w14:textId="77777777" w:rsidR="009866CF" w:rsidRDefault="00000000">
            <w:r>
              <w:rPr>
                <w:sz w:val="18"/>
                <w:szCs w:val="18"/>
              </w:rPr>
              <w:t>Mesure la qualité de localisation fine des boîtes englobantes</w:t>
            </w:r>
          </w:p>
        </w:tc>
      </w:tr>
    </w:tbl>
    <w:p w14:paraId="170C882E" w14:textId="77777777" w:rsidR="009866CF" w:rsidRDefault="00000000">
      <w:pPr>
        <w:spacing w:after="160" w:line="288" w:lineRule="auto"/>
        <w:jc w:val="both"/>
      </w:pPr>
      <w:r>
        <w:rPr>
          <w:color w:val="222222"/>
        </w:rPr>
        <w:t>Ces métriques recoupent exactement l'indicateur mAP@0.5 déjà prévu dans notre cahier des charges (section 1.5), ce qui confirme leur pertinence comme standard d'évaluation pour le POC.</w:t>
      </w:r>
    </w:p>
    <w:p w14:paraId="56D11CBC" w14:textId="77777777" w:rsidR="009866CF" w:rsidRDefault="00000000">
      <w:pPr>
        <w:pStyle w:val="Titre2"/>
        <w:spacing w:before="320" w:after="160"/>
      </w:pPr>
      <w:bookmarkStart w:id="22" w:name="_Toc235776298"/>
      <w:r>
        <w:rPr>
          <w:rFonts w:ascii="Georgia" w:eastAsia="Georgia" w:hAnsi="Georgia" w:cs="Georgia"/>
          <w:b/>
          <w:bCs/>
          <w:color w:val="2E3A66"/>
        </w:rPr>
        <w:t>3.5 Limites identifiées par les auteurs</w:t>
      </w:r>
      <w:bookmarkEnd w:id="22"/>
    </w:p>
    <w:p w14:paraId="2F4831D6" w14:textId="22E2392C" w:rsidR="009866CF" w:rsidRDefault="00000000">
      <w:pPr>
        <w:spacing w:after="160" w:line="288" w:lineRule="auto"/>
        <w:jc w:val="both"/>
      </w:pPr>
      <w:r>
        <w:rPr>
          <w:color w:val="222222"/>
        </w:rPr>
        <w:t xml:space="preserve">Les auteurs soulignent que leur système, bien que performant sur le jeu de données COCO, ne prend pas en compte les conditions météorologiques dégradées (brouillard, pluie) ni les vidéos de faible qualité </w:t>
      </w:r>
      <w:r w:rsidR="00DE6AAB">
        <w:rPr>
          <w:color w:val="222222"/>
        </w:rPr>
        <w:t>-</w:t>
      </w:r>
      <w:r>
        <w:rPr>
          <w:color w:val="222222"/>
        </w:rPr>
        <w:t xml:space="preserve"> deux limites directement transposables au contexte béninois (saison des pluies, poussière de </w:t>
      </w:r>
      <w:proofErr w:type="spellStart"/>
      <w:r>
        <w:rPr>
          <w:color w:val="222222"/>
        </w:rPr>
        <w:t>l'harmattan</w:t>
      </w:r>
      <w:proofErr w:type="spellEnd"/>
      <w:r>
        <w:rPr>
          <w:color w:val="222222"/>
        </w:rPr>
        <w:t>). Ils recommandent un entraînement complémentaire sur des vidéos couvrant des situations dynamiques variées, ce qui rejoint la recommandation de collecte locale déjà identifiée pour le volet ANPR.</w:t>
      </w:r>
    </w:p>
    <w:tbl>
      <w:tblPr>
        <w:tblW w:w="5000" w:type="pct"/>
        <w:tblBorders>
          <w:top w:val="single" w:sz="6" w:space="0" w:color="C98CA7"/>
          <w:left w:val="single" w:sz="24" w:space="0" w:color="C98CA7"/>
          <w:bottom w:val="single" w:sz="6" w:space="0" w:color="C98CA7"/>
          <w:right w:val="single" w:sz="6" w:space="0" w:color="C98CA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990"/>
      </w:tblGrid>
      <w:tr w:rsidR="009866CF" w14:paraId="13694D8D" w14:textId="77777777">
        <w:tblPrEx>
          <w:tblCellMar>
            <w:top w:w="0" w:type="dxa"/>
            <w:bottom w:w="0" w:type="dxa"/>
          </w:tblCellMar>
        </w:tblPrEx>
        <w:tc>
          <w:tcPr>
            <w:tcW w:w="0" w:type="auto"/>
            <w:shd w:val="clear" w:color="auto" w:fill="FBF1F5"/>
            <w:tcMar>
              <w:top w:w="160" w:type="dxa"/>
              <w:left w:w="220" w:type="dxa"/>
              <w:bottom w:w="160" w:type="dxa"/>
              <w:right w:w="220" w:type="dxa"/>
            </w:tcMar>
          </w:tcPr>
          <w:p w14:paraId="7FACBAE7" w14:textId="3F802350" w:rsidR="009866CF" w:rsidRDefault="00000000">
            <w:pPr>
              <w:spacing w:after="80"/>
            </w:pPr>
            <w:r>
              <w:rPr>
                <w:b/>
                <w:bCs/>
                <w:color w:val="8A3F5C"/>
                <w:sz w:val="21"/>
                <w:szCs w:val="21"/>
              </w:rPr>
              <w:t xml:space="preserve">✎ EXEMPLE CONCRET </w:t>
            </w:r>
            <w:r w:rsidR="00DE6AAB">
              <w:rPr>
                <w:b/>
                <w:bCs/>
                <w:color w:val="8A3F5C"/>
                <w:sz w:val="21"/>
                <w:szCs w:val="21"/>
              </w:rPr>
              <w:t>-</w:t>
            </w:r>
            <w:r>
              <w:rPr>
                <w:b/>
                <w:bCs/>
                <w:color w:val="8A3F5C"/>
                <w:sz w:val="21"/>
                <w:szCs w:val="21"/>
              </w:rPr>
              <w:t xml:space="preserve"> Application directe à notre pipeline</w:t>
            </w:r>
          </w:p>
          <w:p w14:paraId="208B19CB" w14:textId="33C23BBB" w:rsidR="009866CF" w:rsidRDefault="00000000">
            <w:pPr>
              <w:jc w:val="both"/>
            </w:pPr>
            <w:r>
              <w:rPr>
                <w:color w:val="222222"/>
                <w:sz w:val="20"/>
                <w:szCs w:val="20"/>
              </w:rPr>
              <w:t>Dans notre architecture (section 1.5), l'étape 1 (détection YOLOv8/v11) et l'étape 2 (</w:t>
            </w:r>
            <w:proofErr w:type="spellStart"/>
            <w:r>
              <w:rPr>
                <w:color w:val="222222"/>
                <w:sz w:val="20"/>
                <w:szCs w:val="20"/>
              </w:rPr>
              <w:t>tracking</w:t>
            </w:r>
            <w:proofErr w:type="spellEnd"/>
            <w:r>
              <w:rPr>
                <w:color w:val="222222"/>
                <w:sz w:val="20"/>
                <w:szCs w:val="20"/>
              </w:rPr>
              <w:t xml:space="preserve"> </w:t>
            </w:r>
            <w:proofErr w:type="spellStart"/>
            <w:r>
              <w:rPr>
                <w:color w:val="222222"/>
                <w:sz w:val="20"/>
                <w:szCs w:val="20"/>
              </w:rPr>
              <w:t>ByteTrack</w:t>
            </w:r>
            <w:proofErr w:type="spellEnd"/>
            <w:r>
              <w:rPr>
                <w:color w:val="222222"/>
                <w:sz w:val="20"/>
                <w:szCs w:val="20"/>
              </w:rPr>
              <w:t xml:space="preserve"> ou </w:t>
            </w:r>
            <w:proofErr w:type="spellStart"/>
            <w:r>
              <w:rPr>
                <w:color w:val="222222"/>
                <w:sz w:val="20"/>
                <w:szCs w:val="20"/>
              </w:rPr>
              <w:t>DeepSORT</w:t>
            </w:r>
            <w:proofErr w:type="spellEnd"/>
            <w:r>
              <w:rPr>
                <w:color w:val="222222"/>
                <w:sz w:val="20"/>
                <w:szCs w:val="20"/>
              </w:rPr>
              <w:t xml:space="preserve">) reproduisent exactement l'architecture validée par cet article. Le choix entre </w:t>
            </w:r>
            <w:proofErr w:type="spellStart"/>
            <w:r>
              <w:rPr>
                <w:color w:val="222222"/>
                <w:sz w:val="20"/>
                <w:szCs w:val="20"/>
              </w:rPr>
              <w:t>ByteTrack</w:t>
            </w:r>
            <w:proofErr w:type="spellEnd"/>
            <w:r>
              <w:rPr>
                <w:color w:val="222222"/>
                <w:sz w:val="20"/>
                <w:szCs w:val="20"/>
              </w:rPr>
              <w:t xml:space="preserve"> et </w:t>
            </w:r>
            <w:proofErr w:type="spellStart"/>
            <w:r>
              <w:rPr>
                <w:color w:val="222222"/>
                <w:sz w:val="20"/>
                <w:szCs w:val="20"/>
              </w:rPr>
              <w:t>DeepSORT</w:t>
            </w:r>
            <w:proofErr w:type="spellEnd"/>
            <w:r>
              <w:rPr>
                <w:color w:val="222222"/>
                <w:sz w:val="20"/>
                <w:szCs w:val="20"/>
              </w:rPr>
              <w:t xml:space="preserve"> devient un arbitrage concret : </w:t>
            </w:r>
            <w:proofErr w:type="spellStart"/>
            <w:r>
              <w:rPr>
                <w:color w:val="222222"/>
                <w:sz w:val="20"/>
                <w:szCs w:val="20"/>
              </w:rPr>
              <w:t>DeepSORT</w:t>
            </w:r>
            <w:proofErr w:type="spellEnd"/>
            <w:r>
              <w:rPr>
                <w:color w:val="222222"/>
                <w:sz w:val="20"/>
                <w:szCs w:val="20"/>
              </w:rPr>
              <w:t xml:space="preserve"> est plus robuste aux occlusions grâce à son descripteur d'apparence, mais plus coûteux en calcul ; </w:t>
            </w:r>
            <w:proofErr w:type="spellStart"/>
            <w:r>
              <w:rPr>
                <w:color w:val="222222"/>
                <w:sz w:val="20"/>
                <w:szCs w:val="20"/>
              </w:rPr>
              <w:t>ByteTrack</w:t>
            </w:r>
            <w:proofErr w:type="spellEnd"/>
            <w:r>
              <w:rPr>
                <w:color w:val="222222"/>
                <w:sz w:val="20"/>
                <w:szCs w:val="20"/>
              </w:rPr>
              <w:t xml:space="preserve"> est plus léger et adapté au temps réel sur matériel contraint un critère important pour un déploiement national à coût soutenable, comme l'exige la problématique de recherche du projet.</w:t>
            </w:r>
          </w:p>
        </w:tc>
      </w:tr>
    </w:tbl>
    <w:p w14:paraId="49D0D4AB" w14:textId="77777777" w:rsidR="009866CF" w:rsidRDefault="00000000">
      <w:pPr>
        <w:pStyle w:val="Titre2"/>
        <w:spacing w:before="320" w:after="160"/>
      </w:pPr>
      <w:bookmarkStart w:id="23" w:name="_Toc235776299"/>
      <w:r>
        <w:rPr>
          <w:rFonts w:ascii="Georgia" w:eastAsia="Georgia" w:hAnsi="Georgia" w:cs="Georgia"/>
          <w:b/>
          <w:bCs/>
          <w:color w:val="2E3A66"/>
        </w:rPr>
        <w:t>3.6 Synthèse comparative des deux sources</w:t>
      </w:r>
      <w:bookmarkEnd w:id="23"/>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3600"/>
        <w:gridCol w:w="3550"/>
      </w:tblGrid>
      <w:tr w:rsidR="009866CF" w14:paraId="26E33FF8" w14:textId="77777777">
        <w:tblPrEx>
          <w:tblCellMar>
            <w:top w:w="0" w:type="dxa"/>
            <w:bottom w:w="0" w:type="dxa"/>
          </w:tblCellMar>
        </w:tblPrEx>
        <w:trPr>
          <w:tblHeader/>
        </w:trPr>
        <w:tc>
          <w:tcPr>
            <w:tcW w:w="2200" w:type="dxa"/>
            <w:shd w:val="clear" w:color="auto" w:fill="1B2340"/>
            <w:tcMar>
              <w:top w:w="100" w:type="dxa"/>
              <w:left w:w="120" w:type="dxa"/>
              <w:bottom w:w="100" w:type="dxa"/>
              <w:right w:w="120" w:type="dxa"/>
            </w:tcMar>
            <w:vAlign w:val="center"/>
          </w:tcPr>
          <w:p w14:paraId="6B7B71AB" w14:textId="77777777" w:rsidR="009866CF" w:rsidRDefault="00000000">
            <w:r>
              <w:rPr>
                <w:b/>
                <w:bCs/>
                <w:color w:val="FFFFFF"/>
                <w:sz w:val="19"/>
                <w:szCs w:val="19"/>
              </w:rPr>
              <w:t>Critère</w:t>
            </w:r>
          </w:p>
        </w:tc>
        <w:tc>
          <w:tcPr>
            <w:tcW w:w="3600" w:type="dxa"/>
            <w:shd w:val="clear" w:color="auto" w:fill="1B2340"/>
            <w:tcMar>
              <w:top w:w="100" w:type="dxa"/>
              <w:left w:w="120" w:type="dxa"/>
              <w:bottom w:w="100" w:type="dxa"/>
              <w:right w:w="120" w:type="dxa"/>
            </w:tcMar>
            <w:vAlign w:val="center"/>
          </w:tcPr>
          <w:p w14:paraId="79C4AD3F" w14:textId="17861B1B" w:rsidR="009866CF" w:rsidRDefault="00000000">
            <w:r>
              <w:rPr>
                <w:b/>
                <w:bCs/>
                <w:color w:val="FFFFFF"/>
                <w:sz w:val="19"/>
                <w:szCs w:val="19"/>
              </w:rPr>
              <w:t xml:space="preserve">Lubna et al. (2021) </w:t>
            </w:r>
            <w:r w:rsidR="00DE6AAB">
              <w:rPr>
                <w:b/>
                <w:bCs/>
                <w:color w:val="FFFFFF"/>
                <w:sz w:val="19"/>
                <w:szCs w:val="19"/>
              </w:rPr>
              <w:t>-</w:t>
            </w:r>
            <w:r>
              <w:rPr>
                <w:b/>
                <w:bCs/>
                <w:color w:val="FFFFFF"/>
                <w:sz w:val="19"/>
                <w:szCs w:val="19"/>
              </w:rPr>
              <w:t xml:space="preserve"> ANPR Survey</w:t>
            </w:r>
          </w:p>
        </w:tc>
        <w:tc>
          <w:tcPr>
            <w:tcW w:w="3550" w:type="dxa"/>
            <w:shd w:val="clear" w:color="auto" w:fill="1B2340"/>
            <w:tcMar>
              <w:top w:w="100" w:type="dxa"/>
              <w:left w:w="120" w:type="dxa"/>
              <w:bottom w:w="100" w:type="dxa"/>
              <w:right w:w="120" w:type="dxa"/>
            </w:tcMar>
            <w:vAlign w:val="center"/>
          </w:tcPr>
          <w:p w14:paraId="09373B1B" w14:textId="522F7CF2" w:rsidR="009866CF" w:rsidRDefault="00000000">
            <w:proofErr w:type="spellStart"/>
            <w:r>
              <w:rPr>
                <w:b/>
                <w:bCs/>
                <w:color w:val="FFFFFF"/>
                <w:sz w:val="19"/>
                <w:szCs w:val="19"/>
              </w:rPr>
              <w:t>Vijayananda</w:t>
            </w:r>
            <w:proofErr w:type="spellEnd"/>
            <w:r>
              <w:rPr>
                <w:b/>
                <w:bCs/>
                <w:color w:val="FFFFFF"/>
                <w:sz w:val="19"/>
                <w:szCs w:val="19"/>
              </w:rPr>
              <w:t xml:space="preserve"> Ratnam et al. (2024) </w:t>
            </w:r>
            <w:r w:rsidR="00DE6AAB">
              <w:rPr>
                <w:b/>
                <w:bCs/>
                <w:color w:val="FFFFFF"/>
                <w:sz w:val="19"/>
                <w:szCs w:val="19"/>
              </w:rPr>
              <w:t>-</w:t>
            </w:r>
            <w:r>
              <w:rPr>
                <w:b/>
                <w:bCs/>
                <w:color w:val="FFFFFF"/>
                <w:sz w:val="19"/>
                <w:szCs w:val="19"/>
              </w:rPr>
              <w:t>YOLOv8+DeepSORT</w:t>
            </w:r>
          </w:p>
        </w:tc>
      </w:tr>
      <w:tr w:rsidR="009866CF" w14:paraId="2955E240"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7719D9AB" w14:textId="77777777" w:rsidR="009866CF" w:rsidRDefault="00000000">
            <w:r>
              <w:rPr>
                <w:sz w:val="18"/>
                <w:szCs w:val="18"/>
              </w:rPr>
              <w:t>Étape du pipeline couverte</w:t>
            </w:r>
          </w:p>
        </w:tc>
        <w:tc>
          <w:tcPr>
            <w:tcW w:w="3600" w:type="dxa"/>
            <w:shd w:val="clear" w:color="auto" w:fill="FFFFFF"/>
            <w:tcMar>
              <w:top w:w="90" w:type="dxa"/>
              <w:left w:w="120" w:type="dxa"/>
              <w:bottom w:w="90" w:type="dxa"/>
              <w:right w:w="120" w:type="dxa"/>
            </w:tcMar>
            <w:vAlign w:val="center"/>
          </w:tcPr>
          <w:p w14:paraId="35C06763" w14:textId="77777777" w:rsidR="009866CF" w:rsidRDefault="00000000">
            <w:r>
              <w:rPr>
                <w:sz w:val="18"/>
                <w:szCs w:val="18"/>
              </w:rPr>
              <w:t>Extraction de plaque, segmentation, OCR (étapes 3-4)</w:t>
            </w:r>
          </w:p>
        </w:tc>
        <w:tc>
          <w:tcPr>
            <w:tcW w:w="3550" w:type="dxa"/>
            <w:shd w:val="clear" w:color="auto" w:fill="FFFFFF"/>
            <w:tcMar>
              <w:top w:w="90" w:type="dxa"/>
              <w:left w:w="120" w:type="dxa"/>
              <w:bottom w:w="90" w:type="dxa"/>
              <w:right w:w="120" w:type="dxa"/>
            </w:tcMar>
            <w:vAlign w:val="center"/>
          </w:tcPr>
          <w:p w14:paraId="314B1AF4" w14:textId="77777777" w:rsidR="009866CF" w:rsidRDefault="00000000">
            <w:r>
              <w:rPr>
                <w:sz w:val="18"/>
                <w:szCs w:val="18"/>
              </w:rPr>
              <w:t>Détection et suivi de véhicules (étapes 1-2)</w:t>
            </w:r>
          </w:p>
        </w:tc>
      </w:tr>
      <w:tr w:rsidR="009866CF" w14:paraId="3E639387"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5ED58265" w14:textId="77777777" w:rsidR="009866CF" w:rsidRDefault="00000000">
            <w:r>
              <w:rPr>
                <w:sz w:val="18"/>
                <w:szCs w:val="18"/>
              </w:rPr>
              <w:t>Type de publication</w:t>
            </w:r>
          </w:p>
        </w:tc>
        <w:tc>
          <w:tcPr>
            <w:tcW w:w="3600" w:type="dxa"/>
            <w:shd w:val="clear" w:color="auto" w:fill="F2F2F2"/>
            <w:tcMar>
              <w:top w:w="90" w:type="dxa"/>
              <w:left w:w="120" w:type="dxa"/>
              <w:bottom w:w="90" w:type="dxa"/>
              <w:right w:w="120" w:type="dxa"/>
            </w:tcMar>
            <w:vAlign w:val="center"/>
          </w:tcPr>
          <w:p w14:paraId="3FF85208" w14:textId="77777777" w:rsidR="009866CF" w:rsidRDefault="00000000">
            <w:r>
              <w:rPr>
                <w:sz w:val="18"/>
                <w:szCs w:val="18"/>
              </w:rPr>
              <w:t>Revue systématique (</w:t>
            </w:r>
            <w:proofErr w:type="spellStart"/>
            <w:r>
              <w:rPr>
                <w:sz w:val="18"/>
                <w:szCs w:val="18"/>
              </w:rPr>
              <w:t>survey</w:t>
            </w:r>
            <w:proofErr w:type="spellEnd"/>
            <w:r>
              <w:rPr>
                <w:sz w:val="18"/>
                <w:szCs w:val="18"/>
              </w:rPr>
              <w:t>), 178 références</w:t>
            </w:r>
          </w:p>
        </w:tc>
        <w:tc>
          <w:tcPr>
            <w:tcW w:w="3550" w:type="dxa"/>
            <w:shd w:val="clear" w:color="auto" w:fill="F2F2F2"/>
            <w:tcMar>
              <w:top w:w="90" w:type="dxa"/>
              <w:left w:w="120" w:type="dxa"/>
              <w:bottom w:w="90" w:type="dxa"/>
              <w:right w:w="120" w:type="dxa"/>
            </w:tcMar>
            <w:vAlign w:val="center"/>
          </w:tcPr>
          <w:p w14:paraId="346FC19E" w14:textId="77777777" w:rsidR="009866CF" w:rsidRDefault="00000000">
            <w:r>
              <w:rPr>
                <w:sz w:val="18"/>
                <w:szCs w:val="18"/>
              </w:rPr>
              <w:t>Article technique appliqué, étude de cas</w:t>
            </w:r>
          </w:p>
        </w:tc>
      </w:tr>
      <w:tr w:rsidR="009866CF" w14:paraId="3EC65437"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0D1F86AD" w14:textId="77777777" w:rsidR="009866CF" w:rsidRDefault="00000000">
            <w:r>
              <w:rPr>
                <w:sz w:val="18"/>
                <w:szCs w:val="18"/>
              </w:rPr>
              <w:t>Apport principal pour le projet</w:t>
            </w:r>
          </w:p>
        </w:tc>
        <w:tc>
          <w:tcPr>
            <w:tcW w:w="3600" w:type="dxa"/>
            <w:shd w:val="clear" w:color="auto" w:fill="FFFFFF"/>
            <w:tcMar>
              <w:top w:w="90" w:type="dxa"/>
              <w:left w:w="120" w:type="dxa"/>
              <w:bottom w:w="90" w:type="dxa"/>
              <w:right w:w="120" w:type="dxa"/>
            </w:tcMar>
            <w:vAlign w:val="center"/>
          </w:tcPr>
          <w:p w14:paraId="0D7E4C27" w14:textId="77777777" w:rsidR="009866CF" w:rsidRDefault="00000000">
            <w:r>
              <w:rPr>
                <w:sz w:val="18"/>
                <w:szCs w:val="18"/>
              </w:rPr>
              <w:t>Panorama des techniques ANPR et repères de performance</w:t>
            </w:r>
          </w:p>
        </w:tc>
        <w:tc>
          <w:tcPr>
            <w:tcW w:w="3550" w:type="dxa"/>
            <w:shd w:val="clear" w:color="auto" w:fill="FFFFFF"/>
            <w:tcMar>
              <w:top w:w="90" w:type="dxa"/>
              <w:left w:w="120" w:type="dxa"/>
              <w:bottom w:w="90" w:type="dxa"/>
              <w:right w:w="120" w:type="dxa"/>
            </w:tcMar>
            <w:vAlign w:val="center"/>
          </w:tcPr>
          <w:p w14:paraId="413C3B93" w14:textId="77777777" w:rsidR="009866CF" w:rsidRDefault="00000000">
            <w:r>
              <w:rPr>
                <w:sz w:val="18"/>
                <w:szCs w:val="18"/>
              </w:rPr>
              <w:t xml:space="preserve">Architecture détaillée de détection + </w:t>
            </w:r>
            <w:proofErr w:type="spellStart"/>
            <w:r>
              <w:rPr>
                <w:sz w:val="18"/>
                <w:szCs w:val="18"/>
              </w:rPr>
              <w:t>tracking</w:t>
            </w:r>
            <w:proofErr w:type="spellEnd"/>
            <w:r>
              <w:rPr>
                <w:sz w:val="18"/>
                <w:szCs w:val="18"/>
              </w:rPr>
              <w:t xml:space="preserve"> temps réel</w:t>
            </w:r>
          </w:p>
        </w:tc>
      </w:tr>
      <w:tr w:rsidR="009866CF" w14:paraId="009159F3" w14:textId="77777777">
        <w:tblPrEx>
          <w:tblCellMar>
            <w:top w:w="0" w:type="dxa"/>
            <w:bottom w:w="0" w:type="dxa"/>
          </w:tblCellMar>
        </w:tblPrEx>
        <w:tc>
          <w:tcPr>
            <w:tcW w:w="2200" w:type="dxa"/>
            <w:shd w:val="clear" w:color="auto" w:fill="F2F2F2"/>
            <w:tcMar>
              <w:top w:w="90" w:type="dxa"/>
              <w:left w:w="120" w:type="dxa"/>
              <w:bottom w:w="90" w:type="dxa"/>
              <w:right w:w="120" w:type="dxa"/>
            </w:tcMar>
            <w:vAlign w:val="center"/>
          </w:tcPr>
          <w:p w14:paraId="59998557" w14:textId="77777777" w:rsidR="009866CF" w:rsidRDefault="00000000">
            <w:r>
              <w:rPr>
                <w:sz w:val="18"/>
                <w:szCs w:val="18"/>
              </w:rPr>
              <w:t>Limite commune identifiée</w:t>
            </w:r>
          </w:p>
        </w:tc>
        <w:tc>
          <w:tcPr>
            <w:tcW w:w="3600" w:type="dxa"/>
            <w:shd w:val="clear" w:color="auto" w:fill="F2F2F2"/>
            <w:tcMar>
              <w:top w:w="90" w:type="dxa"/>
              <w:left w:w="120" w:type="dxa"/>
              <w:bottom w:w="90" w:type="dxa"/>
              <w:right w:w="120" w:type="dxa"/>
            </w:tcMar>
            <w:vAlign w:val="center"/>
          </w:tcPr>
          <w:p w14:paraId="719D3FC2" w14:textId="77777777" w:rsidR="009866CF" w:rsidRDefault="00000000">
            <w:r>
              <w:rPr>
                <w:sz w:val="18"/>
                <w:szCs w:val="18"/>
              </w:rPr>
              <w:t>Sensibilité aux conditions environnementales et formats non standard</w:t>
            </w:r>
          </w:p>
        </w:tc>
        <w:tc>
          <w:tcPr>
            <w:tcW w:w="3550" w:type="dxa"/>
            <w:shd w:val="clear" w:color="auto" w:fill="F2F2F2"/>
            <w:tcMar>
              <w:top w:w="90" w:type="dxa"/>
              <w:left w:w="120" w:type="dxa"/>
              <w:bottom w:w="90" w:type="dxa"/>
              <w:right w:w="120" w:type="dxa"/>
            </w:tcMar>
            <w:vAlign w:val="center"/>
          </w:tcPr>
          <w:p w14:paraId="38A3D78F" w14:textId="77777777" w:rsidR="009866CF" w:rsidRDefault="00000000">
            <w:r>
              <w:rPr>
                <w:sz w:val="18"/>
                <w:szCs w:val="18"/>
              </w:rPr>
              <w:t>Non testé en conditions météo dégradées</w:t>
            </w:r>
          </w:p>
        </w:tc>
      </w:tr>
    </w:tbl>
    <w:p w14:paraId="63348050" w14:textId="77777777" w:rsidR="009866CF" w:rsidRDefault="00000000">
      <w:pPr>
        <w:pStyle w:val="Titre1"/>
        <w:pBdr>
          <w:bottom w:val="single" w:sz="12" w:space="6" w:color="6C5CA6"/>
        </w:pBdr>
        <w:spacing w:before="480" w:after="240"/>
      </w:pPr>
      <w:bookmarkStart w:id="24" w:name="_Toc235776300"/>
      <w:r>
        <w:rPr>
          <w:rFonts w:ascii="Georgia" w:eastAsia="Georgia" w:hAnsi="Georgia" w:cs="Georgia"/>
          <w:b/>
          <w:bCs/>
          <w:color w:val="1B2340"/>
        </w:rPr>
        <w:t>4. Glossaire technique</w:t>
      </w:r>
      <w:bookmarkEnd w:id="24"/>
    </w:p>
    <w:tbl>
      <w:tblPr>
        <w:tblW w:w="935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6750"/>
      </w:tblGrid>
      <w:tr w:rsidR="009866CF" w14:paraId="3799C25C" w14:textId="77777777">
        <w:tblPrEx>
          <w:tblCellMar>
            <w:top w:w="0" w:type="dxa"/>
            <w:bottom w:w="0" w:type="dxa"/>
          </w:tblCellMar>
        </w:tblPrEx>
        <w:trPr>
          <w:tblHeader/>
        </w:trPr>
        <w:tc>
          <w:tcPr>
            <w:tcW w:w="2600" w:type="dxa"/>
            <w:shd w:val="clear" w:color="auto" w:fill="1B2340"/>
            <w:tcMar>
              <w:top w:w="100" w:type="dxa"/>
              <w:left w:w="120" w:type="dxa"/>
              <w:bottom w:w="100" w:type="dxa"/>
              <w:right w:w="120" w:type="dxa"/>
            </w:tcMar>
            <w:vAlign w:val="center"/>
          </w:tcPr>
          <w:p w14:paraId="702B7060" w14:textId="77777777" w:rsidR="009866CF" w:rsidRDefault="00000000">
            <w:r>
              <w:rPr>
                <w:b/>
                <w:bCs/>
                <w:color w:val="FFFFFF"/>
                <w:sz w:val="19"/>
                <w:szCs w:val="19"/>
              </w:rPr>
              <w:t>Terme</w:t>
            </w:r>
          </w:p>
        </w:tc>
        <w:tc>
          <w:tcPr>
            <w:tcW w:w="6750" w:type="dxa"/>
            <w:shd w:val="clear" w:color="auto" w:fill="1B2340"/>
            <w:tcMar>
              <w:top w:w="100" w:type="dxa"/>
              <w:left w:w="120" w:type="dxa"/>
              <w:bottom w:w="100" w:type="dxa"/>
              <w:right w:w="120" w:type="dxa"/>
            </w:tcMar>
            <w:vAlign w:val="center"/>
          </w:tcPr>
          <w:p w14:paraId="4D830D15" w14:textId="77777777" w:rsidR="009866CF" w:rsidRDefault="00000000">
            <w:r>
              <w:rPr>
                <w:b/>
                <w:bCs/>
                <w:color w:val="FFFFFF"/>
                <w:sz w:val="19"/>
                <w:szCs w:val="19"/>
              </w:rPr>
              <w:t>Définition</w:t>
            </w:r>
          </w:p>
        </w:tc>
      </w:tr>
      <w:tr w:rsidR="009866CF" w14:paraId="628CF0B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0C21432" w14:textId="77777777" w:rsidR="009866CF" w:rsidRDefault="00000000">
            <w:r>
              <w:rPr>
                <w:sz w:val="18"/>
                <w:szCs w:val="18"/>
              </w:rPr>
              <w:t>ANPR / ALPR</w:t>
            </w:r>
          </w:p>
        </w:tc>
        <w:tc>
          <w:tcPr>
            <w:tcW w:w="6750" w:type="dxa"/>
            <w:shd w:val="clear" w:color="auto" w:fill="FFFFFF"/>
            <w:tcMar>
              <w:top w:w="90" w:type="dxa"/>
              <w:left w:w="120" w:type="dxa"/>
              <w:bottom w:w="90" w:type="dxa"/>
              <w:right w:w="120" w:type="dxa"/>
            </w:tcMar>
            <w:vAlign w:val="center"/>
          </w:tcPr>
          <w:p w14:paraId="508D94A9" w14:textId="3501488A" w:rsidR="009866CF" w:rsidRDefault="00000000">
            <w:proofErr w:type="spellStart"/>
            <w:r>
              <w:rPr>
                <w:sz w:val="18"/>
                <w:szCs w:val="18"/>
              </w:rPr>
              <w:t>Automatic</w:t>
            </w:r>
            <w:proofErr w:type="spellEnd"/>
            <w:r>
              <w:rPr>
                <w:sz w:val="18"/>
                <w:szCs w:val="18"/>
              </w:rPr>
              <w:t xml:space="preserve"> (Number/License)</w:t>
            </w:r>
            <w:r w:rsidR="00DE6AAB">
              <w:rPr>
                <w:sz w:val="18"/>
                <w:szCs w:val="18"/>
              </w:rPr>
              <w:t> :</w:t>
            </w:r>
            <w:r>
              <w:rPr>
                <w:sz w:val="18"/>
                <w:szCs w:val="18"/>
              </w:rPr>
              <w:t xml:space="preserve"> Plate Recognition reconnaissance automatique de plaques d'immatriculation.</w:t>
            </w:r>
          </w:p>
        </w:tc>
      </w:tr>
      <w:tr w:rsidR="009866CF" w14:paraId="6CC2A05A"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53FB3D60" w14:textId="77777777" w:rsidR="009866CF" w:rsidRDefault="00000000">
            <w:proofErr w:type="spellStart"/>
            <w:proofErr w:type="gramStart"/>
            <w:r>
              <w:rPr>
                <w:sz w:val="18"/>
                <w:szCs w:val="18"/>
              </w:rPr>
              <w:t>mAP</w:t>
            </w:r>
            <w:proofErr w:type="spellEnd"/>
            <w:proofErr w:type="gramEnd"/>
          </w:p>
        </w:tc>
        <w:tc>
          <w:tcPr>
            <w:tcW w:w="6750" w:type="dxa"/>
            <w:shd w:val="clear" w:color="auto" w:fill="F2F2F2"/>
            <w:tcMar>
              <w:top w:w="90" w:type="dxa"/>
              <w:left w:w="120" w:type="dxa"/>
              <w:bottom w:w="90" w:type="dxa"/>
              <w:right w:w="120" w:type="dxa"/>
            </w:tcMar>
            <w:vAlign w:val="center"/>
          </w:tcPr>
          <w:p w14:paraId="686E5BBF" w14:textId="58F25E20" w:rsidR="009866CF" w:rsidRDefault="00000000">
            <w:r>
              <w:rPr>
                <w:sz w:val="18"/>
                <w:szCs w:val="18"/>
              </w:rPr>
              <w:t xml:space="preserve">Mean </w:t>
            </w:r>
            <w:proofErr w:type="spellStart"/>
            <w:r>
              <w:rPr>
                <w:sz w:val="18"/>
                <w:szCs w:val="18"/>
              </w:rPr>
              <w:t>Average</w:t>
            </w:r>
            <w:proofErr w:type="spellEnd"/>
            <w:r>
              <w:rPr>
                <w:sz w:val="18"/>
                <w:szCs w:val="18"/>
              </w:rPr>
              <w:t xml:space="preserve"> </w:t>
            </w:r>
            <w:proofErr w:type="spellStart"/>
            <w:r>
              <w:rPr>
                <w:sz w:val="18"/>
                <w:szCs w:val="18"/>
              </w:rPr>
              <w:t>Precision</w:t>
            </w:r>
            <w:proofErr w:type="spellEnd"/>
            <w:r w:rsidR="00DE6AAB">
              <w:rPr>
                <w:sz w:val="18"/>
                <w:szCs w:val="18"/>
              </w:rPr>
              <w:t> :</w:t>
            </w:r>
            <w:r>
              <w:rPr>
                <w:sz w:val="18"/>
                <w:szCs w:val="18"/>
              </w:rPr>
              <w:t xml:space="preserve"> précision moyenne, métrique standard d'évaluation d'un détecteur d'objets.</w:t>
            </w:r>
          </w:p>
        </w:tc>
      </w:tr>
      <w:tr w:rsidR="009866CF" w14:paraId="1632160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18E811A" w14:textId="77777777" w:rsidR="009866CF" w:rsidRDefault="00000000">
            <w:proofErr w:type="spellStart"/>
            <w:r>
              <w:rPr>
                <w:sz w:val="18"/>
                <w:szCs w:val="18"/>
              </w:rPr>
              <w:t>IoU</w:t>
            </w:r>
            <w:proofErr w:type="spellEnd"/>
          </w:p>
        </w:tc>
        <w:tc>
          <w:tcPr>
            <w:tcW w:w="6750" w:type="dxa"/>
            <w:shd w:val="clear" w:color="auto" w:fill="FFFFFF"/>
            <w:tcMar>
              <w:top w:w="90" w:type="dxa"/>
              <w:left w:w="120" w:type="dxa"/>
              <w:bottom w:w="90" w:type="dxa"/>
              <w:right w:w="120" w:type="dxa"/>
            </w:tcMar>
            <w:vAlign w:val="center"/>
          </w:tcPr>
          <w:p w14:paraId="52FB8535" w14:textId="37A23FFE" w:rsidR="009866CF" w:rsidRDefault="00000000">
            <w:r>
              <w:rPr>
                <w:sz w:val="18"/>
                <w:szCs w:val="18"/>
              </w:rPr>
              <w:t>Intersection over Union mesure de recouvrement entre une boîte prédite et la boîte réelle.</w:t>
            </w:r>
          </w:p>
        </w:tc>
      </w:tr>
      <w:tr w:rsidR="009866CF" w14:paraId="0FD270E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1A83CC55" w14:textId="77777777" w:rsidR="009866CF" w:rsidRDefault="00000000">
            <w:r>
              <w:rPr>
                <w:sz w:val="18"/>
                <w:szCs w:val="18"/>
              </w:rPr>
              <w:t>NMS</w:t>
            </w:r>
          </w:p>
        </w:tc>
        <w:tc>
          <w:tcPr>
            <w:tcW w:w="6750" w:type="dxa"/>
            <w:shd w:val="clear" w:color="auto" w:fill="F2F2F2"/>
            <w:tcMar>
              <w:top w:w="90" w:type="dxa"/>
              <w:left w:w="120" w:type="dxa"/>
              <w:bottom w:w="90" w:type="dxa"/>
              <w:right w:w="120" w:type="dxa"/>
            </w:tcMar>
            <w:vAlign w:val="center"/>
          </w:tcPr>
          <w:p w14:paraId="4D429EC9" w14:textId="5BB79208" w:rsidR="009866CF" w:rsidRDefault="00000000">
            <w:r>
              <w:rPr>
                <w:sz w:val="18"/>
                <w:szCs w:val="18"/>
              </w:rPr>
              <w:t>Non-Maximum Suppression</w:t>
            </w:r>
            <w:r w:rsidR="0029664E">
              <w:rPr>
                <w:sz w:val="18"/>
                <w:szCs w:val="18"/>
              </w:rPr>
              <w:t> :</w:t>
            </w:r>
            <w:r>
              <w:rPr>
                <w:sz w:val="18"/>
                <w:szCs w:val="18"/>
              </w:rPr>
              <w:t xml:space="preserve"> filtrage des détections redondantes après prédiction.</w:t>
            </w:r>
          </w:p>
        </w:tc>
      </w:tr>
      <w:tr w:rsidR="009866CF" w14:paraId="199076C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1742B06E" w14:textId="77777777" w:rsidR="009866CF" w:rsidRDefault="00000000">
            <w:r>
              <w:rPr>
                <w:sz w:val="18"/>
                <w:szCs w:val="18"/>
              </w:rPr>
              <w:t>Filtre de Kalman</w:t>
            </w:r>
          </w:p>
        </w:tc>
        <w:tc>
          <w:tcPr>
            <w:tcW w:w="6750" w:type="dxa"/>
            <w:shd w:val="clear" w:color="auto" w:fill="FFFFFF"/>
            <w:tcMar>
              <w:top w:w="90" w:type="dxa"/>
              <w:left w:w="120" w:type="dxa"/>
              <w:bottom w:w="90" w:type="dxa"/>
              <w:right w:w="120" w:type="dxa"/>
            </w:tcMar>
            <w:vAlign w:val="center"/>
          </w:tcPr>
          <w:p w14:paraId="74772341" w14:textId="77777777" w:rsidR="009866CF" w:rsidRDefault="00000000">
            <w:r>
              <w:rPr>
                <w:sz w:val="18"/>
                <w:szCs w:val="18"/>
              </w:rPr>
              <w:t>Algorithme récursif d'estimation d'état utilisé pour prédire la position future d'un objet suivi.</w:t>
            </w:r>
          </w:p>
        </w:tc>
      </w:tr>
      <w:tr w:rsidR="009866CF" w14:paraId="098C5AD9"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5629044F" w14:textId="77777777" w:rsidR="009866CF" w:rsidRDefault="00000000">
            <w:r>
              <w:rPr>
                <w:sz w:val="18"/>
                <w:szCs w:val="18"/>
              </w:rPr>
              <w:t>Algorithme hongrois</w:t>
            </w:r>
          </w:p>
        </w:tc>
        <w:tc>
          <w:tcPr>
            <w:tcW w:w="6750" w:type="dxa"/>
            <w:shd w:val="clear" w:color="auto" w:fill="F2F2F2"/>
            <w:tcMar>
              <w:top w:w="90" w:type="dxa"/>
              <w:left w:w="120" w:type="dxa"/>
              <w:bottom w:w="90" w:type="dxa"/>
              <w:right w:w="120" w:type="dxa"/>
            </w:tcMar>
            <w:vAlign w:val="center"/>
          </w:tcPr>
          <w:p w14:paraId="7E9732FF" w14:textId="77777777" w:rsidR="009866CF" w:rsidRDefault="00000000">
            <w:r>
              <w:rPr>
                <w:sz w:val="18"/>
                <w:szCs w:val="18"/>
              </w:rPr>
              <w:t>Algorithme d'optimisation combinatoire utilisé pour associer détections et trajectoires existantes.</w:t>
            </w:r>
          </w:p>
        </w:tc>
      </w:tr>
      <w:tr w:rsidR="009866CF" w14:paraId="7D35717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885F432" w14:textId="77777777" w:rsidR="009866CF" w:rsidRDefault="00000000">
            <w:r>
              <w:rPr>
                <w:sz w:val="18"/>
                <w:szCs w:val="18"/>
              </w:rPr>
              <w:t>OCR</w:t>
            </w:r>
          </w:p>
        </w:tc>
        <w:tc>
          <w:tcPr>
            <w:tcW w:w="6750" w:type="dxa"/>
            <w:shd w:val="clear" w:color="auto" w:fill="FFFFFF"/>
            <w:tcMar>
              <w:top w:w="90" w:type="dxa"/>
              <w:left w:w="120" w:type="dxa"/>
              <w:bottom w:w="90" w:type="dxa"/>
              <w:right w:w="120" w:type="dxa"/>
            </w:tcMar>
            <w:vAlign w:val="center"/>
          </w:tcPr>
          <w:p w14:paraId="75F6194C" w14:textId="578F4499" w:rsidR="009866CF" w:rsidRDefault="00000000">
            <w:r>
              <w:rPr>
                <w:sz w:val="18"/>
                <w:szCs w:val="18"/>
              </w:rPr>
              <w:t>Optical Character Recognition reconnaissance optique de caractères.</w:t>
            </w:r>
          </w:p>
        </w:tc>
      </w:tr>
      <w:tr w:rsidR="009866CF" w14:paraId="0D1DAD8E"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064EE1FD" w14:textId="77777777" w:rsidR="009866CF" w:rsidRDefault="00000000">
            <w:r>
              <w:rPr>
                <w:sz w:val="18"/>
                <w:szCs w:val="18"/>
              </w:rPr>
              <w:t>CER</w:t>
            </w:r>
          </w:p>
        </w:tc>
        <w:tc>
          <w:tcPr>
            <w:tcW w:w="6750" w:type="dxa"/>
            <w:shd w:val="clear" w:color="auto" w:fill="F2F2F2"/>
            <w:tcMar>
              <w:top w:w="90" w:type="dxa"/>
              <w:left w:w="120" w:type="dxa"/>
              <w:bottom w:w="90" w:type="dxa"/>
              <w:right w:w="120" w:type="dxa"/>
            </w:tcMar>
            <w:vAlign w:val="center"/>
          </w:tcPr>
          <w:p w14:paraId="1B404ED9" w14:textId="672FA804" w:rsidR="009866CF" w:rsidRDefault="00000000">
            <w:r>
              <w:rPr>
                <w:sz w:val="18"/>
                <w:szCs w:val="18"/>
              </w:rPr>
              <w:t>Character Error Rate</w:t>
            </w:r>
            <w:r w:rsidR="00C72268">
              <w:rPr>
                <w:sz w:val="18"/>
                <w:szCs w:val="18"/>
              </w:rPr>
              <w:t> :</w:t>
            </w:r>
            <w:r>
              <w:rPr>
                <w:sz w:val="18"/>
                <w:szCs w:val="18"/>
              </w:rPr>
              <w:t xml:space="preserve"> taux d'erreur caractère, mesure la qualité de la lecture OCR.</w:t>
            </w:r>
          </w:p>
        </w:tc>
      </w:tr>
      <w:tr w:rsidR="009866CF" w14:paraId="0D5A5FB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697E871" w14:textId="77777777" w:rsidR="009866CF" w:rsidRDefault="00000000">
            <w:r>
              <w:rPr>
                <w:sz w:val="18"/>
                <w:szCs w:val="18"/>
              </w:rPr>
              <w:t>CCA</w:t>
            </w:r>
          </w:p>
        </w:tc>
        <w:tc>
          <w:tcPr>
            <w:tcW w:w="6750" w:type="dxa"/>
            <w:shd w:val="clear" w:color="auto" w:fill="FFFFFF"/>
            <w:tcMar>
              <w:top w:w="90" w:type="dxa"/>
              <w:left w:w="120" w:type="dxa"/>
              <w:bottom w:w="90" w:type="dxa"/>
              <w:right w:w="120" w:type="dxa"/>
            </w:tcMar>
            <w:vAlign w:val="center"/>
          </w:tcPr>
          <w:p w14:paraId="4CBD184F" w14:textId="187FEF2F" w:rsidR="009866CF" w:rsidRDefault="00000000">
            <w:proofErr w:type="spellStart"/>
            <w:r>
              <w:rPr>
                <w:sz w:val="18"/>
                <w:szCs w:val="18"/>
              </w:rPr>
              <w:t>Connected</w:t>
            </w:r>
            <w:proofErr w:type="spellEnd"/>
            <w:r>
              <w:rPr>
                <w:sz w:val="18"/>
                <w:szCs w:val="18"/>
              </w:rPr>
              <w:t xml:space="preserve"> Component </w:t>
            </w:r>
            <w:proofErr w:type="spellStart"/>
            <w:r>
              <w:rPr>
                <w:sz w:val="18"/>
                <w:szCs w:val="18"/>
              </w:rPr>
              <w:t>Analysis</w:t>
            </w:r>
            <w:proofErr w:type="spellEnd"/>
            <w:r w:rsidR="00C72268">
              <w:rPr>
                <w:sz w:val="18"/>
                <w:szCs w:val="18"/>
              </w:rPr>
              <w:t> :</w:t>
            </w:r>
            <w:r>
              <w:rPr>
                <w:sz w:val="18"/>
                <w:szCs w:val="18"/>
              </w:rPr>
              <w:t xml:space="preserve"> analyse en composantes connexes sur image binarisée.</w:t>
            </w:r>
          </w:p>
        </w:tc>
      </w:tr>
      <w:tr w:rsidR="009866CF" w14:paraId="572E1E5E"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5F161710" w14:textId="77777777" w:rsidR="009866CF" w:rsidRDefault="00000000">
            <w:r>
              <w:rPr>
                <w:sz w:val="18"/>
                <w:szCs w:val="18"/>
              </w:rPr>
              <w:t>CNN</w:t>
            </w:r>
          </w:p>
        </w:tc>
        <w:tc>
          <w:tcPr>
            <w:tcW w:w="6750" w:type="dxa"/>
            <w:shd w:val="clear" w:color="auto" w:fill="F2F2F2"/>
            <w:tcMar>
              <w:top w:w="90" w:type="dxa"/>
              <w:left w:w="120" w:type="dxa"/>
              <w:bottom w:w="90" w:type="dxa"/>
              <w:right w:w="120" w:type="dxa"/>
            </w:tcMar>
            <w:vAlign w:val="center"/>
          </w:tcPr>
          <w:p w14:paraId="6D7FB420" w14:textId="711EE4F9" w:rsidR="009866CF" w:rsidRDefault="00000000">
            <w:proofErr w:type="spellStart"/>
            <w:r>
              <w:rPr>
                <w:sz w:val="18"/>
                <w:szCs w:val="18"/>
              </w:rPr>
              <w:t>Convolutional</w:t>
            </w:r>
            <w:proofErr w:type="spellEnd"/>
            <w:r>
              <w:rPr>
                <w:sz w:val="18"/>
                <w:szCs w:val="18"/>
              </w:rPr>
              <w:t xml:space="preserve"> Neural Network</w:t>
            </w:r>
            <w:r w:rsidR="00C72268">
              <w:rPr>
                <w:sz w:val="18"/>
                <w:szCs w:val="18"/>
              </w:rPr>
              <w:t> :</w:t>
            </w:r>
            <w:r>
              <w:rPr>
                <w:sz w:val="18"/>
                <w:szCs w:val="18"/>
              </w:rPr>
              <w:t xml:space="preserve"> réseau de neurones convolutif, base des détecteurs modernes.</w:t>
            </w:r>
          </w:p>
        </w:tc>
      </w:tr>
    </w:tbl>
    <w:p w14:paraId="1F4FE7F9" w14:textId="77777777" w:rsidR="009866CF" w:rsidRDefault="00000000">
      <w:pPr>
        <w:pStyle w:val="Titre1"/>
        <w:pBdr>
          <w:bottom w:val="single" w:sz="12" w:space="6" w:color="6C5CA6"/>
        </w:pBdr>
        <w:spacing w:before="480" w:after="240"/>
      </w:pPr>
      <w:bookmarkStart w:id="25" w:name="_Toc235776301"/>
      <w:r>
        <w:rPr>
          <w:rFonts w:ascii="Georgia" w:eastAsia="Georgia" w:hAnsi="Georgia" w:cs="Georgia"/>
          <w:b/>
          <w:bCs/>
          <w:color w:val="1B2340"/>
        </w:rPr>
        <w:t>5. Bibliographie</w:t>
      </w:r>
      <w:bookmarkEnd w:id="25"/>
    </w:p>
    <w:p w14:paraId="5782FD8B" w14:textId="77777777" w:rsidR="009866CF" w:rsidRDefault="00000000">
      <w:pPr>
        <w:spacing w:after="160" w:line="288" w:lineRule="auto"/>
        <w:jc w:val="both"/>
      </w:pPr>
      <w:r>
        <w:rPr>
          <w:i/>
          <w:iCs/>
          <w:color w:val="595959"/>
          <w:sz w:val="20"/>
          <w:szCs w:val="20"/>
        </w:rPr>
        <w:t>Références citées dans ce document, classées par ordre d'intégration :</w:t>
      </w:r>
    </w:p>
    <w:p w14:paraId="57459F47" w14:textId="2F1EC1F0" w:rsidR="009866CF" w:rsidRDefault="00000000">
      <w:pPr>
        <w:spacing w:after="160"/>
      </w:pPr>
      <w:r>
        <w:rPr>
          <w:b/>
          <w:bCs/>
          <w:sz w:val="20"/>
          <w:szCs w:val="20"/>
        </w:rPr>
        <w:t xml:space="preserve">[1] </w:t>
      </w:r>
      <w:r>
        <w:rPr>
          <w:sz w:val="20"/>
          <w:szCs w:val="20"/>
        </w:rPr>
        <w:t xml:space="preserve">Académie des Mathématiques Appliquées (2026). </w:t>
      </w:r>
      <w:r>
        <w:rPr>
          <w:i/>
          <w:iCs/>
          <w:sz w:val="20"/>
          <w:szCs w:val="20"/>
        </w:rPr>
        <w:t xml:space="preserve">Projet Intégrateur </w:t>
      </w:r>
      <w:r w:rsidR="00C72268">
        <w:rPr>
          <w:i/>
          <w:iCs/>
          <w:sz w:val="20"/>
          <w:szCs w:val="20"/>
        </w:rPr>
        <w:t>-</w:t>
      </w:r>
      <w:r>
        <w:rPr>
          <w:i/>
          <w:iCs/>
          <w:sz w:val="20"/>
          <w:szCs w:val="20"/>
        </w:rPr>
        <w:t xml:space="preserve"> Projet 1 : Vidéoprotection intelligente et vidéo-verbalisation par Computer Vision.</w:t>
      </w:r>
      <w:r>
        <w:rPr>
          <w:sz w:val="20"/>
          <w:szCs w:val="20"/>
        </w:rPr>
        <w:t xml:space="preserve"> Document interne PIIA, non publié.</w:t>
      </w:r>
    </w:p>
    <w:p w14:paraId="24FC4235" w14:textId="77777777" w:rsidR="009866CF" w:rsidRDefault="00000000">
      <w:pPr>
        <w:spacing w:after="160"/>
      </w:pPr>
      <w:r>
        <w:rPr>
          <w:b/>
          <w:bCs/>
          <w:sz w:val="20"/>
          <w:szCs w:val="20"/>
        </w:rPr>
        <w:t xml:space="preserve">[2] </w:t>
      </w:r>
      <w:r>
        <w:rPr>
          <w:sz w:val="20"/>
          <w:szCs w:val="20"/>
        </w:rPr>
        <w:t xml:space="preserve">Lubna, Mufti, N. &amp; Shah, S.A.A. (2021). </w:t>
      </w:r>
      <w:r w:rsidRPr="00D0019B">
        <w:rPr>
          <w:i/>
          <w:iCs/>
          <w:sz w:val="20"/>
          <w:szCs w:val="20"/>
          <w:lang w:val="en-US"/>
        </w:rPr>
        <w:t>Automatic Number Plate Recognition: A Detailed Survey of Relevant Algorithms.</w:t>
      </w:r>
      <w:r w:rsidRPr="00D0019B">
        <w:rPr>
          <w:sz w:val="20"/>
          <w:szCs w:val="20"/>
          <w:lang w:val="en-US"/>
        </w:rPr>
        <w:t xml:space="preserve"> </w:t>
      </w:r>
      <w:proofErr w:type="spellStart"/>
      <w:r>
        <w:rPr>
          <w:sz w:val="20"/>
          <w:szCs w:val="20"/>
        </w:rPr>
        <w:t>Sensors</w:t>
      </w:r>
      <w:proofErr w:type="spellEnd"/>
      <w:r>
        <w:rPr>
          <w:sz w:val="20"/>
          <w:szCs w:val="20"/>
        </w:rPr>
        <w:t xml:space="preserve">, 21(9), 3028. DOI : 10.3390/s21093028. Disponible en accès libre (CC BY) : </w:t>
      </w:r>
      <w:r>
        <w:rPr>
          <w:color w:val="1155CC"/>
          <w:sz w:val="20"/>
          <w:szCs w:val="20"/>
          <w:u w:val="single"/>
        </w:rPr>
        <w:t>https://pmc.ncbi.nlm.nih.gov/articles/PMC8123416/</w:t>
      </w:r>
    </w:p>
    <w:p w14:paraId="7C84B5CE" w14:textId="77777777" w:rsidR="009866CF" w:rsidRDefault="00000000">
      <w:pPr>
        <w:spacing w:after="160"/>
      </w:pPr>
      <w:r>
        <w:rPr>
          <w:b/>
          <w:bCs/>
          <w:sz w:val="20"/>
          <w:szCs w:val="20"/>
        </w:rPr>
        <w:t xml:space="preserve">[3] </w:t>
      </w:r>
      <w:proofErr w:type="spellStart"/>
      <w:r>
        <w:rPr>
          <w:sz w:val="20"/>
          <w:szCs w:val="20"/>
        </w:rPr>
        <w:t>Vijayananda</w:t>
      </w:r>
      <w:proofErr w:type="spellEnd"/>
      <w:r>
        <w:rPr>
          <w:sz w:val="20"/>
          <w:szCs w:val="20"/>
        </w:rPr>
        <w:t xml:space="preserve"> Ratnam, C.H., </w:t>
      </w:r>
      <w:proofErr w:type="spellStart"/>
      <w:r>
        <w:rPr>
          <w:sz w:val="20"/>
          <w:szCs w:val="20"/>
        </w:rPr>
        <w:t>Maddigunta</w:t>
      </w:r>
      <w:proofErr w:type="spellEnd"/>
      <w:r>
        <w:rPr>
          <w:sz w:val="20"/>
          <w:szCs w:val="20"/>
        </w:rPr>
        <w:t xml:space="preserve">, P.S., </w:t>
      </w:r>
      <w:proofErr w:type="spellStart"/>
      <w:r>
        <w:rPr>
          <w:sz w:val="20"/>
          <w:szCs w:val="20"/>
        </w:rPr>
        <w:t>Annappureddy</w:t>
      </w:r>
      <w:proofErr w:type="spellEnd"/>
      <w:r>
        <w:rPr>
          <w:sz w:val="20"/>
          <w:szCs w:val="20"/>
        </w:rPr>
        <w:t xml:space="preserve">, L.S., Kolli, V.K. &amp; </w:t>
      </w:r>
      <w:proofErr w:type="spellStart"/>
      <w:r>
        <w:rPr>
          <w:sz w:val="20"/>
          <w:szCs w:val="20"/>
        </w:rPr>
        <w:t>Gurrala</w:t>
      </w:r>
      <w:proofErr w:type="spellEnd"/>
      <w:r>
        <w:rPr>
          <w:sz w:val="20"/>
          <w:szCs w:val="20"/>
        </w:rPr>
        <w:t xml:space="preserve">, S. (2024). </w:t>
      </w:r>
      <w:r w:rsidRPr="00D0019B">
        <w:rPr>
          <w:i/>
          <w:iCs/>
          <w:sz w:val="20"/>
          <w:szCs w:val="20"/>
          <w:lang w:val="en-US"/>
        </w:rPr>
        <w:t xml:space="preserve">Intelligent Traffic System: YOLOv8 and </w:t>
      </w:r>
      <w:proofErr w:type="spellStart"/>
      <w:r w:rsidRPr="00D0019B">
        <w:rPr>
          <w:i/>
          <w:iCs/>
          <w:sz w:val="20"/>
          <w:szCs w:val="20"/>
          <w:lang w:val="en-US"/>
        </w:rPr>
        <w:t>DeepSORT</w:t>
      </w:r>
      <w:proofErr w:type="spellEnd"/>
      <w:r w:rsidRPr="00D0019B">
        <w:rPr>
          <w:i/>
          <w:iCs/>
          <w:sz w:val="20"/>
          <w:szCs w:val="20"/>
          <w:lang w:val="en-US"/>
        </w:rPr>
        <w:t xml:space="preserve"> in Car Detection, Tracking and Counting.</w:t>
      </w:r>
      <w:r w:rsidRPr="00D0019B">
        <w:rPr>
          <w:sz w:val="20"/>
          <w:szCs w:val="20"/>
          <w:lang w:val="en-US"/>
        </w:rPr>
        <w:t xml:space="preserve"> International Journal for Research in Applied Science and Engineering Technology (IJRASET). </w:t>
      </w:r>
      <w:r>
        <w:rPr>
          <w:sz w:val="20"/>
          <w:szCs w:val="20"/>
        </w:rPr>
        <w:t xml:space="preserve">DOI : 10.22214/ijraset.2024.59201. Disponible : </w:t>
      </w:r>
      <w:r>
        <w:rPr>
          <w:color w:val="1155CC"/>
          <w:sz w:val="20"/>
          <w:szCs w:val="20"/>
          <w:u w:val="single"/>
        </w:rPr>
        <w:t>https://www.ijraset.com/research-paper/yolov8-and-deepsort-in-car-detection-tracking-and-counting</w:t>
      </w:r>
    </w:p>
    <w:p w14:paraId="0A3F95C7" w14:textId="77777777" w:rsidR="009866CF" w:rsidRDefault="00000000">
      <w:pPr>
        <w:spacing w:before="300" w:after="160"/>
      </w:pPr>
      <w:r>
        <w:rPr>
          <w:b/>
          <w:bCs/>
          <w:sz w:val="20"/>
          <w:szCs w:val="20"/>
        </w:rPr>
        <w:t xml:space="preserve">Note méthodologique : </w:t>
      </w:r>
      <w:r>
        <w:rPr>
          <w:sz w:val="20"/>
          <w:szCs w:val="20"/>
        </w:rPr>
        <w:t xml:space="preserve">les deux articles scientifiques ci-dessus ont été vérifiés quant à leur crédibilité : </w:t>
      </w:r>
      <w:proofErr w:type="spellStart"/>
      <w:r>
        <w:rPr>
          <w:sz w:val="20"/>
          <w:szCs w:val="20"/>
        </w:rPr>
        <w:t>Sensors</w:t>
      </w:r>
      <w:proofErr w:type="spellEnd"/>
      <w:r>
        <w:rPr>
          <w:sz w:val="20"/>
          <w:szCs w:val="20"/>
        </w:rPr>
        <w:t xml:space="preserve"> est un journal MDPI à comité de lecture, indexé PubMed/PMC ; IJRASET est un journal indexé avec DOI </w:t>
      </w:r>
      <w:proofErr w:type="spellStart"/>
      <w:r>
        <w:rPr>
          <w:sz w:val="20"/>
          <w:szCs w:val="20"/>
        </w:rPr>
        <w:t>Crossref</w:t>
      </w:r>
      <w:proofErr w:type="spellEnd"/>
      <w:r>
        <w:rPr>
          <w:sz w:val="20"/>
          <w:szCs w:val="20"/>
        </w:rPr>
        <w:t>. Les prochaines ressources intégrées à ce document suivront la même procédure de vérification systématique avant synthèse.</w:t>
      </w:r>
    </w:p>
    <w:sectPr w:rsidR="009866CF">
      <w:headerReference w:type="default" r:id="rId7"/>
      <w:footerReference w:type="default" r:id="rId8"/>
      <w:pgSz w:w="11908" w:h="16833"/>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2005A" w14:textId="77777777" w:rsidR="00EC582B" w:rsidRDefault="00EC582B">
      <w:r>
        <w:separator/>
      </w:r>
    </w:p>
  </w:endnote>
  <w:endnote w:type="continuationSeparator" w:id="0">
    <w:p w14:paraId="4C475838" w14:textId="77777777" w:rsidR="00EC582B" w:rsidRDefault="00EC5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7E365" w14:textId="77777777" w:rsidR="009866C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0019B">
      <w:rPr>
        <w:noProof/>
        <w:color w:val="595959"/>
        <w:sz w:val="16"/>
        <w:szCs w:val="16"/>
      </w:rPr>
      <w:t>3</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D0019B">
      <w:rPr>
        <w:noProof/>
        <w:color w:val="595959"/>
        <w:sz w:val="16"/>
        <w:szCs w:val="16"/>
      </w:rPr>
      <w:t>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480DA" w14:textId="77777777" w:rsidR="00EC582B" w:rsidRDefault="00EC582B">
      <w:r>
        <w:separator/>
      </w:r>
    </w:p>
  </w:footnote>
  <w:footnote w:type="continuationSeparator" w:id="0">
    <w:p w14:paraId="2B95627B" w14:textId="77777777" w:rsidR="00EC582B" w:rsidRDefault="00EC5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2433" w14:textId="43F6F3ED" w:rsidR="009866CF" w:rsidRDefault="00000000">
    <w:pPr>
      <w:jc w:val="right"/>
    </w:pPr>
    <w:r>
      <w:rPr>
        <w:i/>
        <w:iCs/>
        <w:color w:val="595959"/>
        <w:sz w:val="16"/>
        <w:szCs w:val="16"/>
      </w:rPr>
      <w:t xml:space="preserve">PIIA 2026 </w:t>
    </w:r>
    <w:r w:rsidR="00D0019B">
      <w:rPr>
        <w:i/>
        <w:iCs/>
        <w:color w:val="595959"/>
        <w:sz w:val="16"/>
        <w:szCs w:val="16"/>
      </w:rPr>
      <w:t xml:space="preserve">- </w:t>
    </w:r>
    <w:r>
      <w:rPr>
        <w:i/>
        <w:iCs/>
        <w:color w:val="595959"/>
        <w:sz w:val="16"/>
        <w:szCs w:val="16"/>
      </w:rPr>
      <w:t>Projet 1 : Vidéoprotection intelligente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35105"/>
    <w:multiLevelType w:val="hybridMultilevel"/>
    <w:tmpl w:val="D89A3728"/>
    <w:lvl w:ilvl="0" w:tplc="858E25D2">
      <w:start w:val="1"/>
      <w:numFmt w:val="bullet"/>
      <w:lvlText w:val="•"/>
      <w:lvlJc w:val="left"/>
      <w:pPr>
        <w:ind w:left="420" w:hanging="260"/>
      </w:pPr>
    </w:lvl>
    <w:lvl w:ilvl="1" w:tplc="2B608046">
      <w:numFmt w:val="decimal"/>
      <w:lvlText w:val=""/>
      <w:lvlJc w:val="left"/>
    </w:lvl>
    <w:lvl w:ilvl="2" w:tplc="84D2DFA4">
      <w:numFmt w:val="decimal"/>
      <w:lvlText w:val=""/>
      <w:lvlJc w:val="left"/>
    </w:lvl>
    <w:lvl w:ilvl="3" w:tplc="5336BA62">
      <w:numFmt w:val="decimal"/>
      <w:lvlText w:val=""/>
      <w:lvlJc w:val="left"/>
    </w:lvl>
    <w:lvl w:ilvl="4" w:tplc="F6C81724">
      <w:numFmt w:val="decimal"/>
      <w:lvlText w:val=""/>
      <w:lvlJc w:val="left"/>
    </w:lvl>
    <w:lvl w:ilvl="5" w:tplc="363C279A">
      <w:numFmt w:val="decimal"/>
      <w:lvlText w:val=""/>
      <w:lvlJc w:val="left"/>
    </w:lvl>
    <w:lvl w:ilvl="6" w:tplc="882C671A">
      <w:numFmt w:val="decimal"/>
      <w:lvlText w:val=""/>
      <w:lvlJc w:val="left"/>
    </w:lvl>
    <w:lvl w:ilvl="7" w:tplc="D512AF6C">
      <w:numFmt w:val="decimal"/>
      <w:lvlText w:val=""/>
      <w:lvlJc w:val="left"/>
    </w:lvl>
    <w:lvl w:ilvl="8" w:tplc="391A1E54">
      <w:numFmt w:val="decimal"/>
      <w:lvlText w:val=""/>
      <w:lvlJc w:val="left"/>
    </w:lvl>
  </w:abstractNum>
  <w:abstractNum w:abstractNumId="1" w15:restartNumberingAfterBreak="0">
    <w:nsid w:val="7EF0187A"/>
    <w:multiLevelType w:val="hybridMultilevel"/>
    <w:tmpl w:val="894C9B22"/>
    <w:lvl w:ilvl="0" w:tplc="14C08938">
      <w:start w:val="1"/>
      <w:numFmt w:val="bullet"/>
      <w:lvlText w:val="●"/>
      <w:lvlJc w:val="left"/>
      <w:pPr>
        <w:ind w:left="720" w:hanging="360"/>
      </w:pPr>
    </w:lvl>
    <w:lvl w:ilvl="1" w:tplc="AD38F344">
      <w:start w:val="1"/>
      <w:numFmt w:val="bullet"/>
      <w:lvlText w:val="○"/>
      <w:lvlJc w:val="left"/>
      <w:pPr>
        <w:ind w:left="1440" w:hanging="360"/>
      </w:pPr>
    </w:lvl>
    <w:lvl w:ilvl="2" w:tplc="0A2CB52C">
      <w:start w:val="1"/>
      <w:numFmt w:val="bullet"/>
      <w:lvlText w:val="■"/>
      <w:lvlJc w:val="left"/>
      <w:pPr>
        <w:ind w:left="2160" w:hanging="360"/>
      </w:pPr>
    </w:lvl>
    <w:lvl w:ilvl="3" w:tplc="E4B8201E">
      <w:start w:val="1"/>
      <w:numFmt w:val="bullet"/>
      <w:lvlText w:val="●"/>
      <w:lvlJc w:val="left"/>
      <w:pPr>
        <w:ind w:left="2880" w:hanging="360"/>
      </w:pPr>
    </w:lvl>
    <w:lvl w:ilvl="4" w:tplc="870C48FC">
      <w:start w:val="1"/>
      <w:numFmt w:val="bullet"/>
      <w:lvlText w:val="○"/>
      <w:lvlJc w:val="left"/>
      <w:pPr>
        <w:ind w:left="3600" w:hanging="360"/>
      </w:pPr>
    </w:lvl>
    <w:lvl w:ilvl="5" w:tplc="5EDA410A">
      <w:start w:val="1"/>
      <w:numFmt w:val="bullet"/>
      <w:lvlText w:val="■"/>
      <w:lvlJc w:val="left"/>
      <w:pPr>
        <w:ind w:left="4320" w:hanging="360"/>
      </w:pPr>
    </w:lvl>
    <w:lvl w:ilvl="6" w:tplc="9536B49A">
      <w:start w:val="1"/>
      <w:numFmt w:val="bullet"/>
      <w:lvlText w:val="●"/>
      <w:lvlJc w:val="left"/>
      <w:pPr>
        <w:ind w:left="5040" w:hanging="360"/>
      </w:pPr>
    </w:lvl>
    <w:lvl w:ilvl="7" w:tplc="11846274">
      <w:start w:val="1"/>
      <w:numFmt w:val="bullet"/>
      <w:lvlText w:val="●"/>
      <w:lvlJc w:val="left"/>
      <w:pPr>
        <w:ind w:left="5760" w:hanging="360"/>
      </w:pPr>
    </w:lvl>
    <w:lvl w:ilvl="8" w:tplc="58286E00">
      <w:start w:val="1"/>
      <w:numFmt w:val="bullet"/>
      <w:lvlText w:val="●"/>
      <w:lvlJc w:val="left"/>
      <w:pPr>
        <w:ind w:left="6480" w:hanging="360"/>
      </w:pPr>
    </w:lvl>
  </w:abstractNum>
  <w:num w:numId="1" w16cid:durableId="993070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6CF"/>
    <w:rsid w:val="000E7740"/>
    <w:rsid w:val="0029664E"/>
    <w:rsid w:val="00387F52"/>
    <w:rsid w:val="005D7FE5"/>
    <w:rsid w:val="009866CF"/>
    <w:rsid w:val="00C72268"/>
    <w:rsid w:val="00D0019B"/>
    <w:rsid w:val="00DE6AAB"/>
    <w:rsid w:val="00EC582B"/>
    <w:rsid w:val="00F2428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4:docId w14:val="1E405171"/>
  <w15:docId w15:val="{1F7B6FD9-02B1-4749-B826-56433823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D0019B"/>
    <w:pPr>
      <w:spacing w:after="100"/>
    </w:pPr>
  </w:style>
  <w:style w:type="paragraph" w:styleId="TM2">
    <w:name w:val="toc 2"/>
    <w:basedOn w:val="Normal"/>
    <w:next w:val="Normal"/>
    <w:autoRedefine/>
    <w:uiPriority w:val="39"/>
    <w:unhideWhenUsed/>
    <w:rsid w:val="00D0019B"/>
    <w:pPr>
      <w:spacing w:after="100"/>
      <w:ind w:left="220"/>
    </w:pPr>
  </w:style>
  <w:style w:type="paragraph" w:styleId="TM3">
    <w:name w:val="toc 3"/>
    <w:basedOn w:val="Normal"/>
    <w:next w:val="Normal"/>
    <w:autoRedefine/>
    <w:uiPriority w:val="39"/>
    <w:unhideWhenUsed/>
    <w:rsid w:val="00D0019B"/>
    <w:pPr>
      <w:spacing w:after="100"/>
      <w:ind w:left="440"/>
    </w:pPr>
  </w:style>
  <w:style w:type="paragraph" w:styleId="En-tte">
    <w:name w:val="header"/>
    <w:basedOn w:val="Normal"/>
    <w:link w:val="En-tteCar"/>
    <w:uiPriority w:val="99"/>
    <w:unhideWhenUsed/>
    <w:rsid w:val="00D0019B"/>
    <w:pPr>
      <w:tabs>
        <w:tab w:val="center" w:pos="4513"/>
        <w:tab w:val="right" w:pos="9026"/>
      </w:tabs>
    </w:pPr>
  </w:style>
  <w:style w:type="character" w:customStyle="1" w:styleId="En-tteCar">
    <w:name w:val="En-tête Car"/>
    <w:basedOn w:val="Policepardfaut"/>
    <w:link w:val="En-tte"/>
    <w:uiPriority w:val="99"/>
    <w:rsid w:val="00D0019B"/>
  </w:style>
  <w:style w:type="paragraph" w:styleId="Pieddepage">
    <w:name w:val="footer"/>
    <w:basedOn w:val="Normal"/>
    <w:link w:val="PieddepageCar"/>
    <w:uiPriority w:val="99"/>
    <w:unhideWhenUsed/>
    <w:rsid w:val="00D0019B"/>
    <w:pPr>
      <w:tabs>
        <w:tab w:val="center" w:pos="4513"/>
        <w:tab w:val="right" w:pos="9026"/>
      </w:tabs>
    </w:pPr>
  </w:style>
  <w:style w:type="character" w:customStyle="1" w:styleId="PieddepageCar">
    <w:name w:val="Pied de page Car"/>
    <w:basedOn w:val="Policepardfaut"/>
    <w:link w:val="Pieddepage"/>
    <w:uiPriority w:val="99"/>
    <w:rsid w:val="00D001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11</Pages>
  <Words>4020</Words>
  <Characters>22110</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Base documentaire de référence — Projet 1 Vidéoprotection intelligente (PIIA)</vt:lpstr>
    </vt:vector>
  </TitlesOfParts>
  <Company/>
  <LinksUpToDate>false</LinksUpToDate>
  <CharactersWithSpaces>26078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documentaire de référence — Projet 1 Vidéoprotection intelligente (PIIA)</dc:title>
  <dc:creator>Omotolaaa</dc:creator>
  <cp:lastModifiedBy>Omotola AFOUDA</cp:lastModifiedBy>
  <cp:revision>3</cp:revision>
  <dcterms:created xsi:type="dcterms:W3CDTF">2026-07-24T07:59:00Z</dcterms:created>
  <dcterms:modified xsi:type="dcterms:W3CDTF">2026-07-24T10:42:00Z</dcterms:modified>
</cp:coreProperties>
</file>