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4F46E5"/>
          <w:sz w:val="48"/>
        </w:rPr>
        <w:t>Adaptive Learning Platform with Deep Reporting AI</w:t>
      </w:r>
    </w:p>
    <w:p>
      <w:pPr>
        <w:spacing w:after="320"/>
      </w:pPr>
      <w:r>
        <w:rPr>
          <w:color w:val="475569"/>
          <w:sz w:val="26"/>
        </w:rPr>
        <w:t>Executive Technical Summary &amp; System Architecture Overview | Phase 1–5 Complete</w:t>
      </w:r>
    </w:p>
    <w:tbl>
      <w:tblPr>
        <w:tblW w:type="auto" w:w="0"/>
        <w:jc w:val="center"/>
        <w:tblLook w:firstColumn="1" w:firstRow="1" w:lastColumn="0" w:lastRow="0" w:noHBand="0" w:noVBand="1" w:val="04A0"/>
      </w:tblPr>
      <w:tblGrid>
        <w:gridCol w:w="9936"/>
      </w:tblGrid>
      <w:tr>
        <w:tc>
          <w:tcPr>
            <w:tcW w:type="dxa" w:w="9936"/>
            <w:shd w:fill="EEF2FF"/>
            <w:tcMar>
              <w:top w:w="120" w:type="dxa"/>
              <w:bottom w:w="120" w:type="dxa"/>
              <w:left w:w="180" w:type="dxa"/>
              <w:right w:w="180" w:type="dxa"/>
            </w:tcMar>
          </w:tcPr>
          <w:p>
            <w:pPr>
              <w:spacing w:after="0"/>
            </w:pPr>
            <w:r>
              <w:rPr>
                <w:b/>
                <w:color w:val="1E293B"/>
                <w:sz w:val="19"/>
              </w:rPr>
              <w:t>Project Scope: B2B Multi-Tenant SaaS LMS  |  Stack: Next.js 14, FastAPI, PostgreSQL 16, Redis Streams, LLM Reporting Agent</w:t>
              <w:br/>
              <w:t>Status: Fully Verified (Backend 80/80 Pytest Passed, Frontend TypeScript 0 Errors)  |  Date: September 2026</w:t>
            </w:r>
          </w:p>
        </w:tc>
      </w:tr>
    </w:tbl>
    <w:p>
      <w:pPr>
        <w:spacing w:after="240"/>
      </w:pPr>
    </w:p>
    <w:p>
      <w:pPr>
        <w:keepNext/>
        <w:spacing w:before="360" w:after="120"/>
      </w:pPr>
      <w:r>
        <w:rPr>
          <w:b/>
          <w:color w:val="1E293B"/>
          <w:sz w:val="32"/>
        </w:rPr>
        <w:t>1. Executive Summary</w:t>
      </w:r>
    </w:p>
    <w:p>
      <w:pPr>
        <w:spacing w:after="200" w:line="276" w:lineRule="auto"/>
      </w:pPr>
      <w:r>
        <w:t>Traditional Learning Management Systems (LMS) measure completion rather than comprehension. A learner can click through 100% of course materials while retaining minimal demonstrated mastery. The Adaptive Learning Platform with Deep Reporting AI solves this problem by transforming raw learning interactions into explainable Bayesian competency models, deterministic friction detection, and 100% grounded AI reporting with clickable evidence trails.</w:t>
      </w:r>
    </w:p>
    <w:p>
      <w:pPr>
        <w:pStyle w:val="ListBullet"/>
        <w:spacing w:after="80"/>
      </w:pPr>
      <w:r>
        <w:rPr>
          <w:b/>
          <w:color w:val="1E293B"/>
        </w:rPr>
        <w:t xml:space="preserve">Explainable Competency Modelling: </w:t>
      </w:r>
      <w:r>
        <w:t>Mastery is computed strictly from graded answers using soft-evidence Bayesian Knowledge Tracing (BKT). Written answers are evaluated by an AI grading agent to emit deterministic confidence signals.</w:t>
      </w:r>
    </w:p>
    <w:p>
      <w:pPr>
        <w:pStyle w:val="ListBullet"/>
        <w:spacing w:after="80"/>
      </w:pPr>
      <w:r>
        <w:rPr>
          <w:b/>
          <w:color w:val="1E293B"/>
        </w:rPr>
        <w:t xml:space="preserve">Evidence-Based Adaptation: </w:t>
      </w:r>
      <w:r>
        <w:t>Dynamic next-step recommendations (continue, remediate, harder, easier, change format) are calculated deterministically from stored evidence and skill graphs.</w:t>
      </w:r>
    </w:p>
    <w:p>
      <w:pPr>
        <w:pStyle w:val="ListBullet"/>
        <w:spacing w:after="80"/>
      </w:pPr>
      <w:r>
        <w:rPr>
          <w:b/>
          <w:color w:val="1E293B"/>
        </w:rPr>
        <w:t xml:space="preserve">Deterministic Reporting Analytics: </w:t>
      </w:r>
      <w:r>
        <w:t>Period-over-period comparison ('What Changed'), Silent Struggler detection (high completion vs low mastery), Learning Bottleneck friction, and Assessment Intelligence.</w:t>
      </w:r>
    </w:p>
    <w:p>
      <w:pPr>
        <w:pStyle w:val="ListBullet"/>
        <w:spacing w:after="80"/>
      </w:pPr>
      <w:r>
        <w:rPr>
          <w:b/>
          <w:color w:val="1E293B"/>
        </w:rPr>
        <w:t xml:space="preserve">Grounded Deep Reporting AI &amp; Citation Validation: </w:t>
      </w:r>
      <w:r>
        <w:t>Four audience-scoped reports (Learner, Manager, L&amp;D, Organization) where every LLM claim MUST cite valid evidence IDs [E-#]. Uncited claims or invented figures are strictly refused.</w:t>
      </w:r>
    </w:p>
    <w:p>
      <w:pPr>
        <w:pStyle w:val="ListBullet"/>
        <w:spacing w:after="80"/>
      </w:pPr>
      <w:r>
        <w:rPr>
          <w:b/>
          <w:color w:val="1E293B"/>
        </w:rPr>
        <w:t xml:space="preserve">AI Investigation Mode &amp; Evidence Explorer: </w:t>
      </w:r>
      <w:r>
        <w:t>Managers can ask natural-language questions (e.g. 'Why are learners struggling with SQL JOINs?'). The system compiles a structured evidence package, queries the LLM, validates citations, enforces causality guardrails, and renders full audit chains.</w:t>
      </w:r>
    </w:p>
    <w:p>
      <w:pPr>
        <w:keepNext/>
        <w:spacing w:before="360" w:after="120"/>
      </w:pPr>
      <w:r>
        <w:rPr>
          <w:b/>
          <w:color w:val="1E293B"/>
          <w:sz w:val="32"/>
        </w:rPr>
        <w:t>2. Deep Reporting AI Pipeline Architecture</w:t>
      </w:r>
    </w:p>
    <w:p>
      <w:pPr>
        <w:spacing w:after="200"/>
      </w:pPr>
      <w:r>
        <w:t>To guarantee 100% factual accuracy and zero hallucinations, the AI agent is NEVER permitted to query raw database tables directly. Instead, execution follows a strict deterministic-to-generative flow:</w:t>
      </w:r>
    </w:p>
    <w:tbl>
      <w:tblPr>
        <w:tblW w:type="auto" w:w="0"/>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pPr>
              <w:spacing w:after="0"/>
            </w:pPr>
            <w:r>
              <w:rPr>
                <w:rFonts w:ascii="Consolas" w:hAnsi="Consolas"/>
                <w:b/>
                <w:color w:val="4F46E5"/>
                <w:sz w:val="19"/>
              </w:rPr>
              <w:t>LEARNING TELEMETRY EVENTS</w:t>
              <w:br/>
              <w:t xml:space="preserve">       ↓</w:t>
              <w:br/>
              <w:t>BAYESIAN COMPETENCY MODEL (BKT State &amp; Updates)</w:t>
              <w:br/>
              <w:t xml:space="preserve">       ↓</w:t>
              <w:br/>
              <w:t>DETERMINISTIC ANALYTICS ENGINE (What Changed / Strugglers / Bottlenecks / Assessment Friction)</w:t>
              <w:br/>
              <w:t xml:space="preserve">       ↓</w:t>
              <w:br/>
              <w:t>EVIDENCE BUILDER (Structured Evidence Package with Records &amp; Metrics)</w:t>
              <w:br/>
              <w:t xml:space="preserve">       ↓</w:t>
              <w:br/>
              <w:t>REPORTING AI AGENT (Structured Prompt with Defensive Nonce Markers)</w:t>
              <w:br/>
              <w:t xml:space="preserve">       ↓</w:t>
              <w:br/>
              <w:t>CITATION VALIDATOR (Validates Evidence IDs, Allowed Numbers, &amp; Causality Guardrails)</w:t>
              <w:br/>
              <w:t xml:space="preserve">       ↓</w:t>
              <w:br/>
              <w:t>GROUNDED INVESTIGATION ANSWER &amp; EVIDENCE EXPLORER DRAWER</w:t>
            </w:r>
          </w:p>
        </w:tc>
      </w:tr>
    </w:tbl>
    <w:p>
      <w:pPr>
        <w:spacing w:after="200"/>
      </w:pPr>
    </w:p>
    <w:p>
      <w:pPr>
        <w:keepNext/>
        <w:spacing w:before="360" w:after="120"/>
      </w:pPr>
      <w:r>
        <w:rPr>
          <w:b/>
          <w:color w:val="1E293B"/>
          <w:sz w:val="32"/>
        </w:rPr>
        <w:t>3. Implementation Phases &amp; Features Implemented</w:t>
      </w:r>
    </w:p>
    <w:p>
      <w:pPr>
        <w:keepNext/>
        <w:spacing w:before="240" w:after="80"/>
      </w:pPr>
      <w:r>
        <w:rPr>
          <w:b/>
          <w:color w:val="4F46E5"/>
          <w:sz w:val="26"/>
        </w:rPr>
        <w:t>Phase 1: Foundation Audit &amp; Bayesian Competency Engine</w:t>
      </w:r>
    </w:p>
    <w:p>
      <w:pPr>
        <w:spacing w:after="120"/>
      </w:pPr>
      <w:r>
        <w:t>Verified PostgreSQL tables (LearnerCompetency, CompetencyHistory, LearningEvent, QuestionResponse, QuizAttempt, EvidenceRecord), Bayesian Knowledge Tracing algorithms, and 5-role RBAC authorization hierarchy.</w:t>
      </w:r>
    </w:p>
    <w:p>
      <w:pPr>
        <w:keepNext/>
        <w:spacing w:before="240" w:after="80"/>
      </w:pPr>
      <w:r>
        <w:rPr>
          <w:b/>
          <w:color w:val="4F46E5"/>
          <w:sz w:val="26"/>
        </w:rPr>
        <w:t>Phase 2: Deterministic Reporting Analytics</w:t>
      </w:r>
    </w:p>
    <w:p>
      <w:pPr>
        <w:spacing w:after="120"/>
      </w:pPr>
      <w:r>
        <w:t>Created `analytics_engine.py` providing exact SQL analytics without AI models: What Changed (temporal period-over-period comparisons), Silent Strugglers (completion &gt;=70% &amp; mastery &lt;55%), Learning Bottlenecks (module-level retry friction &amp; drop-offs), and Assessment Intelligence (question friction &amp; retry rates).</w:t>
      </w:r>
    </w:p>
    <w:p>
      <w:pPr>
        <w:keepNext/>
        <w:spacing w:before="240" w:after="80"/>
      </w:pPr>
      <w:r>
        <w:rPr>
          <w:b/>
          <w:color w:val="4F46E5"/>
          <w:sz w:val="26"/>
        </w:rPr>
        <w:t>Phase 3: Manager Learning Intelligence Center</w:t>
      </w:r>
    </w:p>
    <w:p>
      <w:pPr>
        <w:spacing w:after="120"/>
      </w:pPr>
      <w:r>
        <w:t>Built frontend `LearningIntelligenceCenter` component bringing together team cohort filters, risk metrics, temporal change metrics, silent struggler tables, bottleneck charts, and question difficulty cards.</w:t>
      </w:r>
    </w:p>
    <w:p>
      <w:pPr>
        <w:keepNext/>
        <w:spacing w:before="240" w:after="80"/>
      </w:pPr>
      <w:r>
        <w:rPr>
          <w:b/>
          <w:color w:val="4F46E5"/>
          <w:sz w:val="26"/>
        </w:rPr>
        <w:t>Phase 4: Evidence Explorer</w:t>
      </w:r>
    </w:p>
    <w:p>
      <w:pPr>
        <w:spacing w:after="120"/>
      </w:pPr>
      <w:r>
        <w:t>Implemented end-to-end evidence inspection via `EvidenceRecord` API and `EvidenceExplorer` frontend drawer. Managers can click any `[E-#]` citation pill to inspect full raw telemetry payloads, competency delta, attempt numbers, error types, and source context.</w:t>
      </w:r>
    </w:p>
    <w:p>
      <w:pPr>
        <w:keepNext/>
        <w:spacing w:before="240" w:after="80"/>
      </w:pPr>
      <w:r>
        <w:rPr>
          <w:b/>
          <w:color w:val="4F46E5"/>
          <w:sz w:val="26"/>
        </w:rPr>
        <w:t>Phase 5: AI Investigation Mode</w:t>
      </w:r>
    </w:p>
    <w:p>
      <w:pPr>
        <w:spacing w:after="120"/>
      </w:pPr>
      <w:r>
        <w:t>Added `POST /api/v1/reports/investigate` endpoint and `InvestigationPanel` component. Managers ask natural-language questions which are grounded in structured evidence packages, evaluated by the LLM agent, checked for citation validity and causality guardrails, and displayed with clickable evidence pills.</w:t>
      </w:r>
    </w:p>
    <w:p>
      <w:pPr>
        <w:keepNext/>
        <w:spacing w:before="360" w:after="120"/>
      </w:pPr>
      <w:r>
        <w:rPr>
          <w:b/>
          <w:color w:val="1E293B"/>
          <w:sz w:val="32"/>
        </w:rPr>
        <w:t>4. Guardrails, Multi-Tenancy &amp; Security Design</w:t>
      </w:r>
    </w:p>
    <w:p>
      <w:pPr>
        <w:pStyle w:val="ListBullet"/>
        <w:spacing w:after="80"/>
      </w:pPr>
      <w:r>
        <w:rPr>
          <w:b/>
          <w:color w:val="1E293B"/>
        </w:rPr>
        <w:t xml:space="preserve">Causality Guardrail: </w:t>
      </w:r>
      <w:r>
        <w:t>The system explicitly prevents correlation from being represented as causation. Claims typed CAUSAL_CLAIM or containing causal words ('caused', 'led to', 'resulted in') are strictly rejected by validator.py.</w:t>
      </w:r>
    </w:p>
    <w:p>
      <w:pPr>
        <w:pStyle w:val="ListBullet"/>
        <w:spacing w:after="80"/>
      </w:pPr>
      <w:r>
        <w:rPr>
          <w:b/>
          <w:color w:val="1E293B"/>
        </w:rPr>
        <w:t xml:space="preserve">Number &amp; ID Validation: </w:t>
      </w:r>
      <w:r>
        <w:t>Every numerical figure in an AI narrative must match stored metric or record values exactly. Invented numbers or hallucinated evidence IDs trigger instant claim rejection.</w:t>
      </w:r>
    </w:p>
    <w:p>
      <w:pPr>
        <w:pStyle w:val="ListBullet"/>
        <w:spacing w:after="80"/>
      </w:pPr>
      <w:r>
        <w:rPr>
          <w:b/>
          <w:color w:val="1E293B"/>
        </w:rPr>
        <w:t xml:space="preserve">Multi-Tenant Scope Isolation: </w:t>
      </w:r>
      <w:r>
        <w:t>All queries and evidence builders enforce `org_id` isolation. Managers can only view and investigate learners within their explicit team remit.</w:t>
      </w:r>
    </w:p>
    <w:p>
      <w:pPr>
        <w:pStyle w:val="ListBullet"/>
        <w:spacing w:after="80"/>
      </w:pPr>
      <w:r>
        <w:rPr>
          <w:b/>
          <w:color w:val="1E293B"/>
        </w:rPr>
        <w:t xml:space="preserve">Prompt Defanging: </w:t>
      </w:r>
      <w:r>
        <w:t>Package data is sanitized with nonce markers (`&lt;&lt;&lt;EVIDENCE_START id=nonce&gt;&gt;&gt;`) to prevent prompt injection attacks embedded inside learning content or questions.</w:t>
      </w:r>
    </w:p>
    <w:p>
      <w:pPr>
        <w:keepNext/>
        <w:spacing w:before="360" w:after="120"/>
      </w:pPr>
      <w:r>
        <w:rPr>
          <w:b/>
          <w:color w:val="1E293B"/>
          <w:sz w:val="32"/>
        </w:rPr>
        <w:t>5. Core API Endpoints Reference</w:t>
      </w:r>
    </w:p>
    <w:tbl>
      <w:tblPr>
        <w:tblW w:type="auto" w:w="0"/>
        <w:jc w:val="center"/>
        <w:tblLayout w:type="fixed"/>
        <w:tblLook w:firstColumn="1" w:firstRow="1" w:lastColumn="0" w:lastRow="0" w:noHBand="0" w:noVBand="1" w:val="04A0"/>
      </w:tblPr>
      <w:tblGrid>
        <w:gridCol w:w="3312"/>
        <w:gridCol w:w="3312"/>
        <w:gridCol w:w="3312"/>
      </w:tblGrid>
      <w:tr>
        <w:tc>
          <w:tcPr>
            <w:tcW w:type="dxa" w:w="3600"/>
            <w:shd w:fill="1E293B"/>
            <w:tcMar>
              <w:top w:w="100" w:type="dxa"/>
              <w:bottom w:w="100" w:type="dxa"/>
              <w:left w:w="120" w:type="dxa"/>
              <w:right w:w="120" w:type="dxa"/>
            </w:tcMar>
          </w:tcPr>
          <w:p>
            <w:pPr>
              <w:spacing w:after="0"/>
            </w:pPr>
            <w:r>
              <w:rPr>
                <w:b/>
                <w:color w:val="FFFFFF"/>
                <w:sz w:val="20"/>
              </w:rPr>
              <w:t>HTTP Method &amp; Path</w:t>
            </w:r>
          </w:p>
        </w:tc>
        <w:tc>
          <w:tcPr>
            <w:tcW w:type="dxa" w:w="2160"/>
            <w:shd w:fill="1E293B"/>
            <w:tcMar>
              <w:top w:w="100" w:type="dxa"/>
              <w:bottom w:w="100" w:type="dxa"/>
              <w:left w:w="120" w:type="dxa"/>
              <w:right w:w="120" w:type="dxa"/>
            </w:tcMar>
          </w:tcPr>
          <w:p>
            <w:pPr>
              <w:spacing w:after="0"/>
            </w:pPr>
            <w:r>
              <w:rPr>
                <w:b/>
                <w:color w:val="FFFFFF"/>
                <w:sz w:val="20"/>
              </w:rPr>
              <w:t>Target Role</w:t>
            </w:r>
          </w:p>
        </w:tc>
        <w:tc>
          <w:tcPr>
            <w:tcW w:type="dxa" w:w="4032"/>
            <w:shd w:fill="1E293B"/>
            <w:tcMar>
              <w:top w:w="100" w:type="dxa"/>
              <w:bottom w:w="100" w:type="dxa"/>
              <w:left w:w="120" w:type="dxa"/>
              <w:right w:w="120" w:type="dxa"/>
            </w:tcMar>
          </w:tcPr>
          <w:p>
            <w:pPr>
              <w:spacing w:after="0"/>
            </w:pPr>
            <w:r>
              <w:rPr>
                <w:b/>
                <w:color w:val="FFFFFF"/>
                <w:sz w:val="20"/>
              </w:rPr>
              <w:t>Description / Purpose</w:t>
            </w:r>
          </w:p>
        </w:tc>
      </w:tr>
      <w:tr>
        <w:tc>
          <w:tcPr>
            <w:tcW w:type="dxa" w:w="3600"/>
            <w:tcMar>
              <w:top w:w="80" w:type="dxa"/>
              <w:bottom w:w="80" w:type="dxa"/>
              <w:left w:w="120" w:type="dxa"/>
              <w:right w:w="120" w:type="dxa"/>
            </w:tcMar>
          </w:tcPr>
          <w:p>
            <w:pPr>
              <w:spacing w:after="0"/>
            </w:pPr>
            <w:r>
              <w:rPr>
                <w:rFonts w:ascii="Consolas" w:hAnsi="Consolas"/>
                <w:b/>
                <w:color w:val="4F46E5"/>
                <w:sz w:val="19"/>
              </w:rPr>
              <w:t>POST /api/v1/auth/login</w:t>
            </w:r>
          </w:p>
        </w:tc>
        <w:tc>
          <w:tcPr>
            <w:tcW w:type="dxa" w:w="2160"/>
            <w:tcMar>
              <w:top w:w="80" w:type="dxa"/>
              <w:bottom w:w="80" w:type="dxa"/>
              <w:left w:w="120" w:type="dxa"/>
              <w:right w:w="120" w:type="dxa"/>
            </w:tcMar>
          </w:tcPr>
          <w:p>
            <w:pPr>
              <w:spacing w:after="0"/>
            </w:pPr>
            <w:r>
              <w:rPr>
                <w:sz w:val="19"/>
              </w:rPr>
              <w:t>Public</w:t>
            </w:r>
          </w:p>
        </w:tc>
        <w:tc>
          <w:tcPr>
            <w:tcW w:type="dxa" w:w="4032"/>
            <w:tcMar>
              <w:top w:w="80" w:type="dxa"/>
              <w:bottom w:w="80" w:type="dxa"/>
              <w:left w:w="120" w:type="dxa"/>
              <w:right w:w="120" w:type="dxa"/>
            </w:tcMar>
          </w:tcPr>
          <w:p>
            <w:pPr>
              <w:spacing w:after="0"/>
            </w:pPr>
            <w:r>
              <w:rPr>
                <w:sz w:val="19"/>
              </w:rPr>
              <w:t>Authenticates user and returns JWT bearer token</w:t>
            </w:r>
          </w:p>
        </w:tc>
      </w:tr>
      <w:tr>
        <w:tc>
          <w:tcPr>
            <w:tcW w:type="dxa" w:w="3600"/>
            <w:tcMar>
              <w:top w:w="80" w:type="dxa"/>
              <w:bottom w:w="80" w:type="dxa"/>
              <w:left w:w="120" w:type="dxa"/>
              <w:right w:w="120" w:type="dxa"/>
            </w:tcMar>
          </w:tcPr>
          <w:p>
            <w:pPr>
              <w:spacing w:after="0"/>
            </w:pPr>
            <w:r>
              <w:rPr>
                <w:rFonts w:ascii="Consolas" w:hAnsi="Consolas"/>
                <w:b/>
                <w:color w:val="4F46E5"/>
                <w:sz w:val="19"/>
              </w:rPr>
              <w:t>POST /api/v1/adaptive/next</w:t>
            </w:r>
          </w:p>
        </w:tc>
        <w:tc>
          <w:tcPr>
            <w:tcW w:type="dxa" w:w="2160"/>
            <w:tcMar>
              <w:top w:w="80" w:type="dxa"/>
              <w:bottom w:w="80" w:type="dxa"/>
              <w:left w:w="120" w:type="dxa"/>
              <w:right w:w="120" w:type="dxa"/>
            </w:tcMar>
          </w:tcPr>
          <w:p>
            <w:pPr>
              <w:spacing w:after="0"/>
            </w:pPr>
            <w:r>
              <w:rPr>
                <w:sz w:val="19"/>
              </w:rPr>
              <w:t>Learner</w:t>
            </w:r>
          </w:p>
        </w:tc>
        <w:tc>
          <w:tcPr>
            <w:tcW w:type="dxa" w:w="4032"/>
            <w:tcMar>
              <w:top w:w="80" w:type="dxa"/>
              <w:bottom w:w="80" w:type="dxa"/>
              <w:left w:w="120" w:type="dxa"/>
              <w:right w:w="120" w:type="dxa"/>
            </w:tcMar>
          </w:tcPr>
          <w:p>
            <w:pPr>
              <w:spacing w:after="0"/>
            </w:pPr>
            <w:r>
              <w:rPr>
                <w:sz w:val="19"/>
              </w:rPr>
              <w:t>Computes Bayesian next-step learning recommendation</w:t>
            </w:r>
          </w:p>
        </w:tc>
      </w:tr>
      <w:tr>
        <w:tc>
          <w:tcPr>
            <w:tcW w:type="dxa" w:w="3600"/>
            <w:tcMar>
              <w:top w:w="80" w:type="dxa"/>
              <w:bottom w:w="80" w:type="dxa"/>
              <w:left w:w="120" w:type="dxa"/>
              <w:right w:w="120" w:type="dxa"/>
            </w:tcMar>
          </w:tcPr>
          <w:p>
            <w:pPr>
              <w:spacing w:after="0"/>
            </w:pPr>
            <w:r>
              <w:rPr>
                <w:rFonts w:ascii="Consolas" w:hAnsi="Consolas"/>
                <w:b/>
                <w:color w:val="4F46E5"/>
                <w:sz w:val="19"/>
              </w:rPr>
              <w:t>POST /api/v1/reports/generate</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Builds evidence package &amp; grounded AI report</w:t>
            </w:r>
          </w:p>
        </w:tc>
      </w:tr>
      <w:tr>
        <w:tc>
          <w:tcPr>
            <w:tcW w:type="dxa" w:w="3600"/>
            <w:tcMar>
              <w:top w:w="80" w:type="dxa"/>
              <w:bottom w:w="80" w:type="dxa"/>
              <w:left w:w="120" w:type="dxa"/>
              <w:right w:w="120" w:type="dxa"/>
            </w:tcMar>
          </w:tcPr>
          <w:p>
            <w:pPr>
              <w:spacing w:after="0"/>
            </w:pPr>
            <w:r>
              <w:rPr>
                <w:rFonts w:ascii="Consolas" w:hAnsi="Consolas"/>
                <w:b/>
                <w:color w:val="4F46E5"/>
                <w:sz w:val="19"/>
              </w:rPr>
              <w:t>POST /api/v1/reports/investigate</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Runs natural language AI investigation with citation validation</w:t>
            </w:r>
          </w:p>
        </w:tc>
      </w:tr>
      <w:tr>
        <w:tc>
          <w:tcPr>
            <w:tcW w:type="dxa" w:w="3600"/>
            <w:tcMar>
              <w:top w:w="80" w:type="dxa"/>
              <w:bottom w:w="80" w:type="dxa"/>
              <w:left w:w="120" w:type="dxa"/>
              <w:right w:w="120" w:type="dxa"/>
            </w:tcMar>
          </w:tcPr>
          <w:p>
            <w:pPr>
              <w:spacing w:after="0"/>
            </w:pPr>
            <w:r>
              <w:rPr>
                <w:rFonts w:ascii="Consolas" w:hAnsi="Consolas"/>
                <w:b/>
                <w:color w:val="4F46E5"/>
                <w:sz w:val="19"/>
              </w:rPr>
              <w:t>GET /api/v1/reports/{id}/evidence/{eid}</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Returns raw evidence record &amp; trace for Evidence Explorer</w:t>
            </w:r>
          </w:p>
        </w:tc>
      </w:tr>
      <w:tr>
        <w:tc>
          <w:tcPr>
            <w:tcW w:type="dxa" w:w="3600"/>
            <w:tcMar>
              <w:top w:w="80" w:type="dxa"/>
              <w:bottom w:w="80" w:type="dxa"/>
              <w:left w:w="120" w:type="dxa"/>
              <w:right w:w="120" w:type="dxa"/>
            </w:tcMar>
          </w:tcPr>
          <w:p>
            <w:pPr>
              <w:spacing w:after="0"/>
            </w:pPr>
            <w:r>
              <w:rPr>
                <w:rFonts w:ascii="Consolas" w:hAnsi="Consolas"/>
                <w:b/>
                <w:color w:val="4F46E5"/>
                <w:sz w:val="19"/>
              </w:rPr>
              <w:t>GET /api/v1/analytics/what-changed</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Period-over-period deterministic analytics comparison</w:t>
            </w:r>
          </w:p>
        </w:tc>
      </w:tr>
      <w:tr>
        <w:tc>
          <w:tcPr>
            <w:tcW w:type="dxa" w:w="3600"/>
            <w:tcMar>
              <w:top w:w="80" w:type="dxa"/>
              <w:bottom w:w="80" w:type="dxa"/>
              <w:left w:w="120" w:type="dxa"/>
              <w:right w:w="120" w:type="dxa"/>
            </w:tcMar>
          </w:tcPr>
          <w:p>
            <w:pPr>
              <w:spacing w:after="0"/>
            </w:pPr>
            <w:r>
              <w:rPr>
                <w:rFonts w:ascii="Consolas" w:hAnsi="Consolas"/>
                <w:b/>
                <w:color w:val="4F46E5"/>
                <w:sz w:val="19"/>
              </w:rPr>
              <w:t>GET /api/v1/analytics/silent-strugglers</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Identifies learners with high progress vs low mastery</w:t>
            </w:r>
          </w:p>
        </w:tc>
      </w:tr>
      <w:tr>
        <w:tc>
          <w:tcPr>
            <w:tcW w:type="dxa" w:w="3600"/>
            <w:tcMar>
              <w:top w:w="80" w:type="dxa"/>
              <w:bottom w:w="80" w:type="dxa"/>
              <w:left w:w="120" w:type="dxa"/>
              <w:right w:w="120" w:type="dxa"/>
            </w:tcMar>
          </w:tcPr>
          <w:p>
            <w:pPr>
              <w:spacing w:after="0"/>
            </w:pPr>
            <w:r>
              <w:rPr>
                <w:rFonts w:ascii="Consolas" w:hAnsi="Consolas"/>
                <w:b/>
                <w:color w:val="4F46E5"/>
                <w:sz w:val="19"/>
              </w:rPr>
              <w:t>GET /api/v1/analytics/bottlenecks</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Identifies module-level retry friction &amp; drop-offs</w:t>
            </w:r>
          </w:p>
        </w:tc>
      </w:tr>
      <w:tr>
        <w:tc>
          <w:tcPr>
            <w:tcW w:type="dxa" w:w="3600"/>
            <w:tcMar>
              <w:top w:w="80" w:type="dxa"/>
              <w:bottom w:w="80" w:type="dxa"/>
              <w:left w:w="120" w:type="dxa"/>
              <w:right w:w="120" w:type="dxa"/>
            </w:tcMar>
          </w:tcPr>
          <w:p>
            <w:pPr>
              <w:spacing w:after="0"/>
            </w:pPr>
            <w:r>
              <w:rPr>
                <w:rFonts w:ascii="Consolas" w:hAnsi="Consolas"/>
                <w:b/>
                <w:color w:val="4F46E5"/>
                <w:sz w:val="19"/>
              </w:rPr>
              <w:t>GET /api/v1/analytics/assessment-intelligence</w:t>
            </w:r>
          </w:p>
        </w:tc>
        <w:tc>
          <w:tcPr>
            <w:tcW w:type="dxa" w:w="2160"/>
            <w:tcMar>
              <w:top w:w="80" w:type="dxa"/>
              <w:bottom w:w="80" w:type="dxa"/>
              <w:left w:w="120" w:type="dxa"/>
              <w:right w:w="120" w:type="dxa"/>
            </w:tcMar>
          </w:tcPr>
          <w:p>
            <w:pPr>
              <w:spacing w:after="0"/>
            </w:pPr>
            <w:r>
              <w:rPr>
                <w:sz w:val="19"/>
              </w:rPr>
              <w:t>Manager / Admin</w:t>
            </w:r>
          </w:p>
        </w:tc>
        <w:tc>
          <w:tcPr>
            <w:tcW w:type="dxa" w:w="4032"/>
            <w:tcMar>
              <w:top w:w="80" w:type="dxa"/>
              <w:bottom w:w="80" w:type="dxa"/>
              <w:left w:w="120" w:type="dxa"/>
              <w:right w:w="120" w:type="dxa"/>
            </w:tcMar>
          </w:tcPr>
          <w:p>
            <w:pPr>
              <w:spacing w:after="0"/>
            </w:pPr>
            <w:r>
              <w:rPr>
                <w:sz w:val="19"/>
              </w:rPr>
              <w:t>Analyzes question retry rates &amp; factual difficulty metrics</w:t>
            </w:r>
          </w:p>
        </w:tc>
      </w:tr>
    </w:tbl>
    <w:p>
      <w:pPr>
        <w:spacing w:after="280"/>
      </w:pPr>
    </w:p>
    <w:p>
      <w:pPr>
        <w:keepNext/>
        <w:spacing w:before="360" w:after="120"/>
      </w:pPr>
      <w:r>
        <w:rPr>
          <w:b/>
          <w:color w:val="1E293B"/>
          <w:sz w:val="32"/>
        </w:rPr>
        <w:t>6. System Verification &amp; Test Coverage</w:t>
      </w:r>
    </w:p>
    <w:p>
      <w:pPr>
        <w:spacing w:after="160"/>
      </w:pPr>
      <w:r>
        <w:t>The platform has been rigorously validated across backend API test suites and frontend static typechecking:</w:t>
      </w:r>
    </w:p>
    <w:p>
      <w:pPr>
        <w:pStyle w:val="ListBullet"/>
        <w:spacing w:after="80"/>
      </w:pPr>
      <w:r>
        <w:rPr>
          <w:b/>
          <w:color w:val="1E293B"/>
        </w:rPr>
        <w:t xml:space="preserve">Backend Pytest Suite: </w:t>
      </w:r>
      <w:r>
        <w:t>80 out of 80 tests passing (100% pass rate) across unit, analytics engine, reporting insights, and investigation suites.</w:t>
      </w:r>
    </w:p>
    <w:p>
      <w:pPr>
        <w:pStyle w:val="ListBullet"/>
        <w:spacing w:after="80"/>
      </w:pPr>
      <w:r>
        <w:rPr>
          <w:b/>
          <w:color w:val="1E293B"/>
        </w:rPr>
        <w:t xml:space="preserve">Frontend TypeScript Compiler: </w:t>
      </w:r>
      <w:r>
        <w:t>npx tsc --noEmit executed cleanly with 0 type errors across all Next.js App Router components.</w:t>
      </w:r>
    </w:p>
    <w:p>
      <w:pPr>
        <w:pStyle w:val="ListBullet"/>
        <w:spacing w:after="80"/>
      </w:pPr>
      <w:r>
        <w:rPr>
          <w:b/>
          <w:color w:val="1E293B"/>
        </w:rPr>
        <w:t xml:space="preserve">Citation Validation Tests: </w:t>
      </w:r>
      <w:r>
        <w:t>Verified 100% rejection rate for uncited claims, fabricated evidence IDs, unallowed numbers, and causal statements.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