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91C1C"/>
          <w:sz w:val="44"/>
        </w:rPr>
        <w:t>Jankalyan Blood Centre &amp; Hospital</w:t>
      </w:r>
    </w:p>
    <w:p>
      <w:pPr>
        <w:jc w:val="center"/>
      </w:pPr>
      <w:r>
        <w:rPr>
          <w:rFonts w:ascii="Arial" w:hAnsi="Arial"/>
          <w:b/>
          <w:color w:val="1E293B"/>
          <w:sz w:val="26"/>
        </w:rPr>
        <w:t>On-Premise Private Server Requirements &amp; Technical Specifications</w:t>
        <w:br/>
        <w:t>Digital Blood Donation Form System (QF/JKRP/18)</w:t>
      </w:r>
    </w:p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B91C1C"/>
          <w:sz w:val="28"/>
        </w:rPr>
        <w:t>1. Executive Summary &amp; Sensitive Data Compliance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Blood donor demographic information, medical screening evaluations, test outcomes, and phlebotomy details constitute highly sensitive medical data under Healthcare Data Protection Standards (DISHA / ISO 27001).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To guarantee 100% data sovereignty, complete privacy, and zero data leakage to 3rd-party public clouds, this document outlines the exact hardware, software, network, port, database, and security requirements to host the Jankalyan Blood Bank application on a dedicated On-Premise Server inside the hospital's physical network.</w:t>
      </w:r>
    </w:p>
    <w:p>
      <w:pPr>
        <w:spacing w:before="280" w:after="120"/>
      </w:pPr>
      <w:r>
        <w:rPr>
          <w:rFonts w:ascii="Arial" w:hAnsi="Arial"/>
          <w:b/>
          <w:color w:val="B91C1C"/>
          <w:sz w:val="28"/>
        </w:rPr>
        <w:t>2. On-Premise Server Hardware &amp; PC Specifications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The system is engineered to be lightweight and high-performance. Below are the Minimum and Recommended hardware specifications for the host server machine: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91C1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12"/>
            <w:shd w:fill="B91C1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Minimum Requirement</w:t>
            </w:r>
          </w:p>
        </w:tc>
        <w:tc>
          <w:tcPr>
            <w:tcW w:type="dxa" w:w="3312"/>
            <w:shd w:fill="B91C1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Recommended Specification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Processor (CPU)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Intel Core i3 (9th Gen) / AMD Ryzen 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Intel Core i5 (11th Gen+) / AMD Ryzen 5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System Memory (RAM)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8 GB DDR4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16 GB DDR4 / DDR5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Storage (Disk)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128 GB SATA SSD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256 GB NVMe M.2 SSD (High Read/Write Speed)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Network Interface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1 Gbps Ethernet LAN Port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1 Gbps Dual-Port Ethernet / Gigabit Switch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Operating System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Windows 10 / 11 Pro 64-bit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Windows Server 2022 OR Ubuntu Linux 22.04 LTS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B91C1C"/>
          <w:sz w:val="28"/>
        </w:rPr>
        <w:t>3. Network, IP Address &amp; Firewall Port Requirements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The server must be assigned a Static Internal IP on the hospital router to prevent address changes after server restarts.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Port Number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Protocol / Service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Purpose &amp; Access Scope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Port 5000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HTTP (TCP)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Flask / Waitress WSGI Application Server (Internal LAN Access)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Port 80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HTTP (TCP)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Web Reverse Proxy (Nginx / IIS) - Redirects traffic to HTTPS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Port 443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HTTPS (TCP / SSL)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Encrypted Web Access (Mandatory for Donor Digital Signatures)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Static Internal IP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LAN Address (e.g. 192.168.1.100)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Assigned via DHCP MAC Reservation on Hospital Router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B91C1C"/>
          <w:sz w:val="28"/>
        </w:rPr>
        <w:t>4. Database &amp; Storage Architecture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• Engine: Embedded SQLite 3 Database (bloodbank.db)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• Relational Integrity: 12 Normalized Relational Tables with CASCADE Foreign Keys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• Estimated Database Size: ~250 KB (Initial baseline) + ~15 MB per 1,000 completed forms (includes high-res base64 signatures).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• Automated Backups: Scheduled automated daily backup via Windows Task Scheduler / Cron to external USB drive or NAS (Network Attached Storage).</w:t>
      </w:r>
    </w:p>
    <w:p>
      <w:pPr>
        <w:spacing w:before="280" w:after="120"/>
      </w:pPr>
      <w:r>
        <w:rPr>
          <w:rFonts w:ascii="Arial" w:hAnsi="Arial"/>
          <w:b/>
          <w:color w:val="B91C1C"/>
          <w:sz w:val="28"/>
        </w:rPr>
        <w:t>5. Production Software Stack &amp; Environment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• Python Environment: Python 3.10+ (64-bit)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• Production WSGI Server: Waitress Server (for Windows) / Gunicorn (for Linux)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• Reverse Proxy: Nginx or Microsoft IIS (Internet Information Services)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• SSL Certificate: Local Certificate Authority (CA) or Self-Signed Certificate to ensure end-to-end TLS 1.3 encryption for signature canvases.</w:t>
      </w:r>
    </w:p>
    <w:p>
      <w:pPr>
        <w:spacing w:before="280" w:after="120"/>
      </w:pPr>
      <w:r>
        <w:rPr>
          <w:rFonts w:ascii="Arial" w:hAnsi="Arial"/>
          <w:b/>
          <w:color w:val="B91C1C"/>
          <w:sz w:val="28"/>
        </w:rPr>
        <w:t>6. Client Device Requirements (Staff, Doctors &amp; Tablets)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• Client Devices: Android / iPad Tablets (for donor signature), Desktop PCs, Laptops connected to hospital Wi-Fi.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• Web Browser: Modern Web Browser (Google Chrome 100+, Microsoft Edge 100+, Safari 15+).</w:t>
      </w:r>
    </w:p>
    <w:p>
      <w:pPr>
        <w:spacing w:after="80" w:line="276" w:lineRule="auto"/>
      </w:pPr>
      <w:r>
        <w:rPr>
          <w:rFonts w:ascii="Arial" w:hAnsi="Arial"/>
          <w:b w:val="0"/>
          <w:color w:val="334155"/>
          <w:sz w:val="20"/>
        </w:rPr>
        <w:t>• Peripherals: Touchscreen Stylus (optional for donor signature), Barcode Scanner (for scanning blood bag numbers).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