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31F42" w14:textId="77777777" w:rsidR="00D47AC2" w:rsidRPr="00D47AC2" w:rsidRDefault="00D47AC2" w:rsidP="00D47AC2">
      <w:pPr>
        <w:jc w:val="center"/>
        <w:rPr>
          <w:b/>
          <w:bCs/>
          <w:sz w:val="40"/>
          <w:szCs w:val="40"/>
        </w:rPr>
      </w:pPr>
      <w:r w:rsidRPr="00D47AC2">
        <w:rPr>
          <w:b/>
          <w:bCs/>
          <w:sz w:val="40"/>
          <w:szCs w:val="40"/>
        </w:rPr>
        <w:t>Executive Summary</w:t>
      </w:r>
    </w:p>
    <w:p w14:paraId="73C32155" w14:textId="77777777" w:rsidR="00D47AC2" w:rsidRPr="00D47AC2" w:rsidRDefault="00D47AC2" w:rsidP="00D47AC2">
      <w:r w:rsidRPr="00D47AC2">
        <w:t>This analysis explores unemployment trends in India using Python for data cleaning, exploration, and visualization. The study covers regional disparities, the impact of the COVID-19 pandemic, and seasonal patterns in unemployment rates.</w:t>
      </w:r>
    </w:p>
    <w:p w14:paraId="1FE2AB8C" w14:textId="77777777" w:rsidR="00D47AC2" w:rsidRPr="00D47AC2" w:rsidRDefault="00D47AC2" w:rsidP="00D47AC2">
      <w:pPr>
        <w:rPr>
          <w:b/>
          <w:bCs/>
        </w:rPr>
      </w:pPr>
      <w:r w:rsidRPr="00D47AC2">
        <w:rPr>
          <w:b/>
          <w:bCs/>
        </w:rPr>
        <w:t>Key Insights</w:t>
      </w:r>
    </w:p>
    <w:p w14:paraId="55DBE277" w14:textId="77777777" w:rsidR="00D47AC2" w:rsidRPr="00D47AC2" w:rsidRDefault="00D47AC2" w:rsidP="00D47AC2">
      <w:pPr>
        <w:numPr>
          <w:ilvl w:val="0"/>
          <w:numId w:val="1"/>
        </w:numPr>
      </w:pPr>
      <w:r w:rsidRPr="00D47AC2">
        <w:rPr>
          <w:b/>
          <w:bCs/>
        </w:rPr>
        <w:t>Regional Disparities:</w:t>
      </w:r>
      <w:r w:rsidRPr="00D47AC2">
        <w:br/>
        <w:t>There are significant differences in average unemployment rates across Indian states. For example, Haryana and Tripura have the highest average unemployment rates, exceeding </w:t>
      </w:r>
      <w:r w:rsidRPr="00D47AC2">
        <w:rPr>
          <w:b/>
          <w:bCs/>
        </w:rPr>
        <w:t>20%</w:t>
      </w:r>
      <w:r w:rsidRPr="00D47AC2">
        <w:t>, while Meghalaya and Odisha have the lowest, often below </w:t>
      </w:r>
      <w:r w:rsidRPr="00D47AC2">
        <w:rPr>
          <w:b/>
          <w:bCs/>
        </w:rPr>
        <w:t>5%</w:t>
      </w:r>
      <w:r w:rsidRPr="00D47AC2">
        <w:t>. This means some states face unemployment rates </w:t>
      </w:r>
      <w:r w:rsidRPr="00D47AC2">
        <w:rPr>
          <w:b/>
          <w:bCs/>
        </w:rPr>
        <w:t>4 times higher</w:t>
      </w:r>
      <w:r w:rsidRPr="00D47AC2">
        <w:t> than others, highlighting the need for region-specific employment policies.</w:t>
      </w:r>
    </w:p>
    <w:p w14:paraId="6F8BC971" w14:textId="77777777" w:rsidR="00D47AC2" w:rsidRPr="00D47AC2" w:rsidRDefault="00D47AC2" w:rsidP="00D47AC2">
      <w:pPr>
        <w:numPr>
          <w:ilvl w:val="0"/>
          <w:numId w:val="1"/>
        </w:numPr>
      </w:pPr>
      <w:r w:rsidRPr="00D47AC2">
        <w:rPr>
          <w:b/>
          <w:bCs/>
        </w:rPr>
        <w:t>COVID-19 Impact:</w:t>
      </w:r>
      <w:r w:rsidRPr="00D47AC2">
        <w:br/>
        <w:t>The average unemployment rate increased sharply from approximately </w:t>
      </w:r>
      <w:r w:rsidRPr="00D47AC2">
        <w:rPr>
          <w:b/>
          <w:bCs/>
        </w:rPr>
        <w:t>9.5%</w:t>
      </w:r>
      <w:r w:rsidRPr="00D47AC2">
        <w:t> pre-COVID to about </w:t>
      </w:r>
      <w:r w:rsidRPr="00D47AC2">
        <w:rPr>
          <w:b/>
          <w:bCs/>
        </w:rPr>
        <w:t>17.8%</w:t>
      </w:r>
      <w:r w:rsidRPr="00D47AC2">
        <w:t> during the March–June 2020 lockdown. This is an increase of nearly </w:t>
      </w:r>
      <w:r w:rsidRPr="00D47AC2">
        <w:rPr>
          <w:b/>
          <w:bCs/>
        </w:rPr>
        <w:t>87%</w:t>
      </w:r>
      <w:r w:rsidRPr="00D47AC2">
        <w:t>, showing the severe economic impact of the pandemic.</w:t>
      </w:r>
    </w:p>
    <w:p w14:paraId="60BBE890" w14:textId="77777777" w:rsidR="00D47AC2" w:rsidRPr="00D47AC2" w:rsidRDefault="00D47AC2" w:rsidP="00D47AC2">
      <w:pPr>
        <w:numPr>
          <w:ilvl w:val="0"/>
          <w:numId w:val="1"/>
        </w:numPr>
      </w:pPr>
      <w:r w:rsidRPr="00D47AC2">
        <w:rPr>
          <w:b/>
          <w:bCs/>
        </w:rPr>
        <w:t>Seasonal Trends:</w:t>
      </w:r>
      <w:r w:rsidRPr="00D47AC2">
        <w:br/>
        <w:t>Unemployment rates spike in April and May, mainly due to the COVID-19 lockdown, but otherwise remain relatively stable throughout the year. For instance, the national average unemployment rate in May 2020 was above </w:t>
      </w:r>
      <w:r w:rsidRPr="00D47AC2">
        <w:rPr>
          <w:b/>
          <w:bCs/>
        </w:rPr>
        <w:t>20%</w:t>
      </w:r>
      <w:r w:rsidRPr="00D47AC2">
        <w:t>, compared to the yearly average of around </w:t>
      </w:r>
      <w:r w:rsidRPr="00D47AC2">
        <w:rPr>
          <w:b/>
          <w:bCs/>
        </w:rPr>
        <w:t>10%</w:t>
      </w:r>
      <w:r w:rsidRPr="00D47AC2">
        <w:t>.</w:t>
      </w:r>
    </w:p>
    <w:p w14:paraId="23D5C789" w14:textId="77777777" w:rsidR="00D47AC2" w:rsidRPr="00D47AC2" w:rsidRDefault="00D47AC2" w:rsidP="00D47AC2">
      <w:pPr>
        <w:numPr>
          <w:ilvl w:val="0"/>
          <w:numId w:val="1"/>
        </w:numPr>
      </w:pPr>
      <w:r w:rsidRPr="00D47AC2">
        <w:rPr>
          <w:b/>
          <w:bCs/>
        </w:rPr>
        <w:t>Distribution:</w:t>
      </w:r>
      <w:r w:rsidRPr="00D47AC2">
        <w:br/>
        <w:t>Most months have low unemployment rates (below </w:t>
      </w:r>
      <w:r w:rsidRPr="00D47AC2">
        <w:rPr>
          <w:b/>
          <w:bCs/>
        </w:rPr>
        <w:t>10%</w:t>
      </w:r>
      <w:r w:rsidRPr="00D47AC2">
        <w:t>), but there are occasional spikes, indicating periods of economic stress.</w:t>
      </w:r>
    </w:p>
    <w:p w14:paraId="5B54A9D6" w14:textId="77777777" w:rsidR="00D47AC2" w:rsidRPr="00D47AC2" w:rsidRDefault="00D47AC2" w:rsidP="00D47AC2">
      <w:pPr>
        <w:rPr>
          <w:b/>
          <w:bCs/>
        </w:rPr>
      </w:pPr>
      <w:r w:rsidRPr="00D47AC2">
        <w:rPr>
          <w:b/>
          <w:bCs/>
        </w:rPr>
        <w:t>Policy Insights</w:t>
      </w:r>
    </w:p>
    <w:p w14:paraId="5A045321" w14:textId="77777777" w:rsidR="00D47AC2" w:rsidRPr="00D47AC2" w:rsidRDefault="00D47AC2" w:rsidP="00D47AC2">
      <w:pPr>
        <w:numPr>
          <w:ilvl w:val="0"/>
          <w:numId w:val="2"/>
        </w:numPr>
      </w:pPr>
      <w:r w:rsidRPr="00D47AC2">
        <w:rPr>
          <w:b/>
          <w:bCs/>
        </w:rPr>
        <w:t>Regional Disparities:</w:t>
      </w:r>
      <w:r w:rsidRPr="00D47AC2">
        <w:br/>
        <w:t>States like Haryana and Tripura face much higher unemployment than states like Meghalaya and Odisha. This suggests the need for targeted job creation and skill development programs in high-unemployment regions.</w:t>
      </w:r>
    </w:p>
    <w:p w14:paraId="72F5F167" w14:textId="77777777" w:rsidR="00D47AC2" w:rsidRPr="00D47AC2" w:rsidRDefault="00D47AC2" w:rsidP="00D47AC2">
      <w:pPr>
        <w:numPr>
          <w:ilvl w:val="0"/>
          <w:numId w:val="2"/>
        </w:numPr>
      </w:pPr>
      <w:r w:rsidRPr="00D47AC2">
        <w:rPr>
          <w:b/>
          <w:bCs/>
        </w:rPr>
        <w:t>Impact of External Shocks:</w:t>
      </w:r>
      <w:r w:rsidRPr="00D47AC2">
        <w:br/>
        <w:t xml:space="preserve">The sharp increase in unemployment during the COVID-19 period highlights the vulnerability of the </w:t>
      </w:r>
      <w:proofErr w:type="spellStart"/>
      <w:r w:rsidRPr="00D47AC2">
        <w:t>labor</w:t>
      </w:r>
      <w:proofErr w:type="spellEnd"/>
      <w:r w:rsidRPr="00D47AC2">
        <w:t xml:space="preserve"> market to external shocks. Policies should focus on building economic resilience, such as expanding social safety nets and supporting small businesses during crises.</w:t>
      </w:r>
    </w:p>
    <w:p w14:paraId="603AE325" w14:textId="77777777" w:rsidR="00D47AC2" w:rsidRPr="00D47AC2" w:rsidRDefault="00D47AC2" w:rsidP="00D47AC2">
      <w:pPr>
        <w:numPr>
          <w:ilvl w:val="0"/>
          <w:numId w:val="2"/>
        </w:numPr>
      </w:pPr>
      <w:r w:rsidRPr="00D47AC2">
        <w:rPr>
          <w:b/>
          <w:bCs/>
        </w:rPr>
        <w:t>Seasonal Trends:</w:t>
      </w:r>
      <w:r w:rsidRPr="00D47AC2">
        <w:br/>
        <w:t xml:space="preserve">The monthly analysis shows spikes in unemployment during certain months, </w:t>
      </w:r>
      <w:r w:rsidRPr="00D47AC2">
        <w:lastRenderedPageBreak/>
        <w:t>especially during the COVID-19 lockdown. Understanding these patterns can help policymakers time employment schemes or public works programs to coincide with periods of higher unemployment.</w:t>
      </w:r>
    </w:p>
    <w:p w14:paraId="4E28DD7B" w14:textId="77777777" w:rsidR="00D47AC2" w:rsidRPr="00D47AC2" w:rsidRDefault="00D47AC2" w:rsidP="00D47AC2">
      <w:pPr>
        <w:numPr>
          <w:ilvl w:val="0"/>
          <w:numId w:val="2"/>
        </w:numPr>
      </w:pPr>
      <w:r w:rsidRPr="00D47AC2">
        <w:rPr>
          <w:b/>
          <w:bCs/>
        </w:rPr>
        <w:t>Urban-Rural Differences:</w:t>
      </w:r>
      <w:r w:rsidRPr="00D47AC2">
        <w:br/>
        <w:t>The dataset includes both rural and urban areas. Policymakers should consider the unique challenges faced by each, such as rural underemployment or urban job losses during lockdowns, and design tailored interventions.</w:t>
      </w:r>
    </w:p>
    <w:p w14:paraId="10C585C3" w14:textId="77777777" w:rsidR="00D47AC2" w:rsidRPr="00D47AC2" w:rsidRDefault="00D47AC2" w:rsidP="00D47AC2">
      <w:pPr>
        <w:numPr>
          <w:ilvl w:val="0"/>
          <w:numId w:val="2"/>
        </w:numPr>
      </w:pPr>
      <w:r w:rsidRPr="00D47AC2">
        <w:rPr>
          <w:b/>
          <w:bCs/>
        </w:rPr>
        <w:t>Labour Participation:</w:t>
      </w:r>
      <w:r w:rsidRPr="00D47AC2">
        <w:br/>
        <w:t>Variations in the estimated labour participation rate suggest that increasing workforce participation, especially among underrepresented groups, could be a lever for economic growth.</w:t>
      </w:r>
    </w:p>
    <w:p w14:paraId="04A947A9" w14:textId="77777777" w:rsidR="00D47AC2" w:rsidRPr="00D47AC2" w:rsidRDefault="00D47AC2" w:rsidP="00D47AC2">
      <w:pPr>
        <w:rPr>
          <w:b/>
          <w:bCs/>
        </w:rPr>
      </w:pPr>
      <w:r w:rsidRPr="00D47AC2">
        <w:rPr>
          <w:b/>
          <w:bCs/>
        </w:rPr>
        <w:t>Recommendations</w:t>
      </w:r>
    </w:p>
    <w:p w14:paraId="6D2ECC40" w14:textId="77777777" w:rsidR="00D47AC2" w:rsidRPr="00D47AC2" w:rsidRDefault="00D47AC2" w:rsidP="00D47AC2">
      <w:pPr>
        <w:numPr>
          <w:ilvl w:val="0"/>
          <w:numId w:val="3"/>
        </w:numPr>
      </w:pPr>
      <w:r w:rsidRPr="00D47AC2">
        <w:t>Implement regionally tailored employment and training programs.</w:t>
      </w:r>
    </w:p>
    <w:p w14:paraId="375E9362" w14:textId="77777777" w:rsidR="00D47AC2" w:rsidRPr="00D47AC2" w:rsidRDefault="00D47AC2" w:rsidP="00D47AC2">
      <w:pPr>
        <w:numPr>
          <w:ilvl w:val="0"/>
          <w:numId w:val="3"/>
        </w:numPr>
      </w:pPr>
      <w:r w:rsidRPr="00D47AC2">
        <w:t>Strengthen social protection systems to cushion against economic shocks.</w:t>
      </w:r>
    </w:p>
    <w:p w14:paraId="4248F23D" w14:textId="77777777" w:rsidR="00D47AC2" w:rsidRPr="00D47AC2" w:rsidRDefault="00D47AC2" w:rsidP="00D47AC2">
      <w:pPr>
        <w:numPr>
          <w:ilvl w:val="0"/>
          <w:numId w:val="3"/>
        </w:numPr>
      </w:pPr>
      <w:r w:rsidRPr="00D47AC2">
        <w:t>Use seasonal insights to optimize the timing of government employment schemes.</w:t>
      </w:r>
    </w:p>
    <w:p w14:paraId="0381ED9F" w14:textId="77777777" w:rsidR="00D47AC2" w:rsidRPr="00D47AC2" w:rsidRDefault="00D47AC2" w:rsidP="00D47AC2">
      <w:pPr>
        <w:numPr>
          <w:ilvl w:val="0"/>
          <w:numId w:val="3"/>
        </w:numPr>
      </w:pPr>
      <w:r w:rsidRPr="00D47AC2">
        <w:t>Address barriers to labour force participation, particularly for women and marginalized groups.</w:t>
      </w:r>
    </w:p>
    <w:p w14:paraId="2A85AFF9" w14:textId="77777777" w:rsidR="00D47AC2" w:rsidRPr="00D47AC2" w:rsidRDefault="00D47AC2" w:rsidP="00D47AC2">
      <w:r w:rsidRPr="00D47AC2">
        <w:pict w14:anchorId="71E4E85D">
          <v:rect id="_x0000_i1031" style="width:0;height:1.5pt" o:hralign="center" o:hrstd="t" o:hrnoshade="t" o:hr="t" fillcolor="#ccc" stroked="f"/>
        </w:pict>
      </w:r>
    </w:p>
    <w:p w14:paraId="0D80DAAB" w14:textId="77777777" w:rsidR="0085591E" w:rsidRDefault="0085591E"/>
    <w:sectPr w:rsidR="008559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575A7"/>
    <w:multiLevelType w:val="multilevel"/>
    <w:tmpl w:val="BE9C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A33E60"/>
    <w:multiLevelType w:val="multilevel"/>
    <w:tmpl w:val="663C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731CEB"/>
    <w:multiLevelType w:val="multilevel"/>
    <w:tmpl w:val="1A1E6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8431296">
    <w:abstractNumId w:val="0"/>
  </w:num>
  <w:num w:numId="2" w16cid:durableId="1241331162">
    <w:abstractNumId w:val="2"/>
  </w:num>
  <w:num w:numId="3" w16cid:durableId="439182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AC2"/>
    <w:rsid w:val="005B2CF4"/>
    <w:rsid w:val="005D011F"/>
    <w:rsid w:val="00605842"/>
    <w:rsid w:val="0085591E"/>
    <w:rsid w:val="00D47AC2"/>
    <w:rsid w:val="00DE45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8210195"/>
  <w15:chartTrackingRefBased/>
  <w15:docId w15:val="{0B8DF219-0F91-4C1E-9056-380754FA0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A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7A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7A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7A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7A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7A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A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A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A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A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7A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7A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7A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7A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7A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A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A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AC2"/>
    <w:rPr>
      <w:rFonts w:eastAsiaTheme="majorEastAsia" w:cstheme="majorBidi"/>
      <w:color w:val="272727" w:themeColor="text1" w:themeTint="D8"/>
    </w:rPr>
  </w:style>
  <w:style w:type="paragraph" w:styleId="Title">
    <w:name w:val="Title"/>
    <w:basedOn w:val="Normal"/>
    <w:next w:val="Normal"/>
    <w:link w:val="TitleChar"/>
    <w:uiPriority w:val="10"/>
    <w:qFormat/>
    <w:rsid w:val="00D47A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A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A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A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AC2"/>
    <w:pPr>
      <w:spacing w:before="160"/>
      <w:jc w:val="center"/>
    </w:pPr>
    <w:rPr>
      <w:i/>
      <w:iCs/>
      <w:color w:val="404040" w:themeColor="text1" w:themeTint="BF"/>
    </w:rPr>
  </w:style>
  <w:style w:type="character" w:customStyle="1" w:styleId="QuoteChar">
    <w:name w:val="Quote Char"/>
    <w:basedOn w:val="DefaultParagraphFont"/>
    <w:link w:val="Quote"/>
    <w:uiPriority w:val="29"/>
    <w:rsid w:val="00D47AC2"/>
    <w:rPr>
      <w:i/>
      <w:iCs/>
      <w:color w:val="404040" w:themeColor="text1" w:themeTint="BF"/>
    </w:rPr>
  </w:style>
  <w:style w:type="paragraph" w:styleId="ListParagraph">
    <w:name w:val="List Paragraph"/>
    <w:basedOn w:val="Normal"/>
    <w:uiPriority w:val="34"/>
    <w:qFormat/>
    <w:rsid w:val="00D47AC2"/>
    <w:pPr>
      <w:ind w:left="720"/>
      <w:contextualSpacing/>
    </w:pPr>
  </w:style>
  <w:style w:type="character" w:styleId="IntenseEmphasis">
    <w:name w:val="Intense Emphasis"/>
    <w:basedOn w:val="DefaultParagraphFont"/>
    <w:uiPriority w:val="21"/>
    <w:qFormat/>
    <w:rsid w:val="00D47AC2"/>
    <w:rPr>
      <w:i/>
      <w:iCs/>
      <w:color w:val="2F5496" w:themeColor="accent1" w:themeShade="BF"/>
    </w:rPr>
  </w:style>
  <w:style w:type="paragraph" w:styleId="IntenseQuote">
    <w:name w:val="Intense Quote"/>
    <w:basedOn w:val="Normal"/>
    <w:next w:val="Normal"/>
    <w:link w:val="IntenseQuoteChar"/>
    <w:uiPriority w:val="30"/>
    <w:qFormat/>
    <w:rsid w:val="00D47A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7AC2"/>
    <w:rPr>
      <w:i/>
      <w:iCs/>
      <w:color w:val="2F5496" w:themeColor="accent1" w:themeShade="BF"/>
    </w:rPr>
  </w:style>
  <w:style w:type="character" w:styleId="IntenseReference">
    <w:name w:val="Intense Reference"/>
    <w:basedOn w:val="DefaultParagraphFont"/>
    <w:uiPriority w:val="32"/>
    <w:qFormat/>
    <w:rsid w:val="00D47A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476366">
      <w:bodyDiv w:val="1"/>
      <w:marLeft w:val="0"/>
      <w:marRight w:val="0"/>
      <w:marTop w:val="0"/>
      <w:marBottom w:val="0"/>
      <w:divBdr>
        <w:top w:val="none" w:sz="0" w:space="0" w:color="auto"/>
        <w:left w:val="none" w:sz="0" w:space="0" w:color="auto"/>
        <w:bottom w:val="none" w:sz="0" w:space="0" w:color="auto"/>
        <w:right w:val="none" w:sz="0" w:space="0" w:color="auto"/>
      </w:divBdr>
    </w:div>
    <w:div w:id="1407537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437</Words>
  <Characters>2495</Characters>
  <Application>Microsoft Office Word</Application>
  <DocSecurity>0</DocSecurity>
  <Lines>20</Lines>
  <Paragraphs>5</Paragraphs>
  <ScaleCrop>false</ScaleCrop>
  <Company/>
  <LinksUpToDate>false</LinksUpToDate>
  <CharactersWithSpaces>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2025-07-04T23:12:00Z</dcterms:created>
  <dcterms:modified xsi:type="dcterms:W3CDTF">2025-07-04T23:16:00Z</dcterms:modified>
</cp:coreProperties>
</file>