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246DAA" w14:textId="77777777" w:rsidR="00AC18FF" w:rsidRPr="00AC18FF" w:rsidRDefault="00AC18FF" w:rsidP="00AC18FF">
      <w:pPr>
        <w:jc w:val="center"/>
        <w:rPr>
          <w:b/>
          <w:bCs/>
          <w:sz w:val="56"/>
          <w:szCs w:val="56"/>
        </w:rPr>
      </w:pPr>
      <w:r w:rsidRPr="00AC18FF">
        <w:rPr>
          <w:b/>
          <w:bCs/>
          <w:sz w:val="56"/>
          <w:szCs w:val="56"/>
        </w:rPr>
        <w:t>Executive Summary</w:t>
      </w:r>
    </w:p>
    <w:p w14:paraId="2D8FF836" w14:textId="77777777" w:rsidR="00AC18FF" w:rsidRPr="00AC18FF" w:rsidRDefault="00AC18FF" w:rsidP="00AC18FF"/>
    <w:p w14:paraId="07320736" w14:textId="77777777" w:rsidR="00AC18FF" w:rsidRPr="00AC18FF" w:rsidRDefault="00AC18FF" w:rsidP="00AC18FF">
      <w:r w:rsidRPr="00AC18FF">
        <w:t>This analysis provides a comprehensive exploration of customer churn in the Telco Customer Churn dataset, using visualizations and statistical summaries to uncover key drivers of churn. The main findings are as follows:</w:t>
      </w:r>
    </w:p>
    <w:p w14:paraId="254B630F" w14:textId="77777777" w:rsidR="00AC18FF" w:rsidRPr="00AC18FF" w:rsidRDefault="00AC18FF" w:rsidP="00AC18FF"/>
    <w:p w14:paraId="5823F204" w14:textId="6B5BE8C3" w:rsidR="00AC18FF" w:rsidRPr="00AC18FF" w:rsidRDefault="00AC18FF" w:rsidP="00AC18FF">
      <w:r w:rsidRPr="00AC18FF">
        <w:rPr>
          <w:b/>
          <w:bCs/>
        </w:rPr>
        <w:t>Churn Rate:</w:t>
      </w:r>
      <w:r w:rsidRPr="00AC18FF">
        <w:t xml:space="preserve"> Approximately 26.5% of customers have churned (left the service), as shown by the pie chart. This means that out of every 100 customers, about 27 are leaving, which is a significant proportion for the business to address.</w:t>
      </w:r>
    </w:p>
    <w:p w14:paraId="76086CCD" w14:textId="77777777" w:rsidR="00AC18FF" w:rsidRPr="00AC18FF" w:rsidRDefault="00AC18FF" w:rsidP="00AC18FF"/>
    <w:p w14:paraId="3C42DD26" w14:textId="521AADB0" w:rsidR="00AC18FF" w:rsidRPr="00AC18FF" w:rsidRDefault="00AC18FF" w:rsidP="00AC18FF">
      <w:r w:rsidRPr="00AC18FF">
        <w:rPr>
          <w:b/>
          <w:bCs/>
        </w:rPr>
        <w:t>Contract Type:</w:t>
      </w:r>
      <w:r w:rsidRPr="00AC18FF">
        <w:t xml:space="preserve"> Customers with month-to-month contracts have the highest churn rate, with over 40% of these customers leaving. In contrast, customers with one-year or two-year contracts have much lower churn rates (less than 10%), indicating that longer-term contracts are effective in retaining customers.</w:t>
      </w:r>
    </w:p>
    <w:p w14:paraId="6C2ACB33" w14:textId="77777777" w:rsidR="00AC18FF" w:rsidRPr="00AC18FF" w:rsidRDefault="00AC18FF" w:rsidP="00AC18FF"/>
    <w:p w14:paraId="40C25FE9" w14:textId="38B1DBBD" w:rsidR="00AC18FF" w:rsidRPr="00AC18FF" w:rsidRDefault="00AC18FF" w:rsidP="00AC18FF">
      <w:r w:rsidRPr="00AC18FF">
        <w:rPr>
          <w:b/>
          <w:bCs/>
        </w:rPr>
        <w:t>Senior Citizens:</w:t>
      </w:r>
      <w:r w:rsidRPr="00AC18FF">
        <w:t xml:space="preserve"> Senior citizens represent a higher risk group, with about 42% of senior citizen customers churning compared to only 24% of non-senior citizens. This suggests that age is an important factor in customer retention.</w:t>
      </w:r>
    </w:p>
    <w:p w14:paraId="7BE63533" w14:textId="77777777" w:rsidR="00AC18FF" w:rsidRPr="00AC18FF" w:rsidRDefault="00AC18FF" w:rsidP="00AC18FF"/>
    <w:p w14:paraId="4993D146" w14:textId="5EF29989" w:rsidR="00AC18FF" w:rsidRPr="00AC18FF" w:rsidRDefault="00AC18FF" w:rsidP="00AC18FF">
      <w:r w:rsidRPr="00AC18FF">
        <w:t>-</w:t>
      </w:r>
      <w:r w:rsidRPr="00AC18FF">
        <w:rPr>
          <w:b/>
          <w:bCs/>
        </w:rPr>
        <w:t>Tenure:</w:t>
      </w:r>
      <w:r w:rsidRPr="00AC18FF">
        <w:t xml:space="preserve"> Customers with a tenure of 1-2 months have a churn rate exceeding 60%, while those with longer tenure (over 24 months) have a churn rate below 10%. This highlights the importance of engaging new customers early to reduce early churn.</w:t>
      </w:r>
    </w:p>
    <w:p w14:paraId="46D04C10" w14:textId="77777777" w:rsidR="00AC18FF" w:rsidRPr="00AC18FF" w:rsidRDefault="00AC18FF" w:rsidP="00AC18FF"/>
    <w:p w14:paraId="4002CF4A" w14:textId="06228858" w:rsidR="00AC18FF" w:rsidRPr="00AC18FF" w:rsidRDefault="00AC18FF" w:rsidP="00AC18FF">
      <w:r w:rsidRPr="00AC18FF">
        <w:rPr>
          <w:b/>
          <w:bCs/>
        </w:rPr>
        <w:t>Payment Method:</w:t>
      </w:r>
      <w:r w:rsidRPr="00AC18FF">
        <w:t xml:space="preserve"> Customers using electronic checks as a payment method have a churn rate of around 45%, which is much higher than those using other payment methods (such as credit card, bank transfer, or mailed check, all below 20%). This suggests that payment method is a strong indicator of churn risk.</w:t>
      </w:r>
    </w:p>
    <w:p w14:paraId="46D71CAE" w14:textId="77777777" w:rsidR="00AC18FF" w:rsidRPr="00AC18FF" w:rsidRDefault="00AC18FF" w:rsidP="00AC18FF"/>
    <w:p w14:paraId="45740E09" w14:textId="413A7EE0" w:rsidR="00AC18FF" w:rsidRPr="00AC18FF" w:rsidRDefault="00AC18FF" w:rsidP="00AC18FF">
      <w:r w:rsidRPr="00AC18FF">
        <w:rPr>
          <w:b/>
          <w:bCs/>
        </w:rPr>
        <w:t>Service Features:</w:t>
      </w:r>
      <w:r w:rsidRPr="00AC18FF">
        <w:t xml:space="preserve"> The </w:t>
      </w:r>
      <w:proofErr w:type="spellStart"/>
      <w:r w:rsidRPr="00AC18FF">
        <w:t>countplots</w:t>
      </w:r>
      <w:proofErr w:type="spellEnd"/>
      <w:r w:rsidRPr="00AC18FF">
        <w:t xml:space="preserve"> for services like </w:t>
      </w:r>
      <w:proofErr w:type="spellStart"/>
      <w:r w:rsidRPr="00AC18FF">
        <w:t>PhoneService</w:t>
      </w:r>
      <w:proofErr w:type="spellEnd"/>
      <w:r w:rsidRPr="00AC18FF">
        <w:t xml:space="preserve">, </w:t>
      </w:r>
      <w:proofErr w:type="spellStart"/>
      <w:r w:rsidRPr="00AC18FF">
        <w:t>InternetService</w:t>
      </w:r>
      <w:proofErr w:type="spellEnd"/>
      <w:r w:rsidRPr="00AC18FF">
        <w:t xml:space="preserve">, </w:t>
      </w:r>
      <w:proofErr w:type="spellStart"/>
      <w:r w:rsidRPr="00AC18FF">
        <w:t>OnlineSecurity</w:t>
      </w:r>
      <w:proofErr w:type="spellEnd"/>
      <w:r w:rsidRPr="00AC18FF">
        <w:t xml:space="preserve">, and others show that customers who do not subscribe to additional services (such as </w:t>
      </w:r>
      <w:proofErr w:type="spellStart"/>
      <w:r w:rsidRPr="00AC18FF">
        <w:t>OnlineSecurity</w:t>
      </w:r>
      <w:proofErr w:type="spellEnd"/>
      <w:r w:rsidRPr="00AC18FF">
        <w:t xml:space="preserve"> or </w:t>
      </w:r>
      <w:proofErr w:type="spellStart"/>
      <w:r w:rsidRPr="00AC18FF">
        <w:t>TechSupport</w:t>
      </w:r>
      <w:proofErr w:type="spellEnd"/>
      <w:r w:rsidRPr="00AC18FF">
        <w:t xml:space="preserve">) are more likely to churn. For example, customers without </w:t>
      </w:r>
      <w:proofErr w:type="spellStart"/>
      <w:r w:rsidRPr="00AC18FF">
        <w:t>OnlineSecurity</w:t>
      </w:r>
      <w:proofErr w:type="spellEnd"/>
      <w:r w:rsidRPr="00AC18FF">
        <w:t xml:space="preserve"> have a churn rate of over 35%, compared to less than 15% for those with the service.</w:t>
      </w:r>
    </w:p>
    <w:p w14:paraId="104B4C69" w14:textId="77777777" w:rsidR="00AC18FF" w:rsidRPr="00AC18FF" w:rsidRDefault="00AC18FF" w:rsidP="00AC18FF"/>
    <w:p w14:paraId="33BF0328" w14:textId="7DB0A31E" w:rsidR="00AC18FF" w:rsidRPr="00AC18FF" w:rsidRDefault="00AC18FF" w:rsidP="00AC18FF">
      <w:r w:rsidRPr="00AC18FF">
        <w:rPr>
          <w:b/>
          <w:bCs/>
        </w:rPr>
        <w:t>Monthly and Total Charges:</w:t>
      </w:r>
      <w:r w:rsidRPr="00AC18FF">
        <w:t xml:space="preserve"> Customers who churn tend to have higher monthly charges (average above $75) but lower total charges, indicating they leave early in their tenure. In contrast, loyal customers have lower monthly charges and higher total charges, reflecting longer relationships with the company.</w:t>
      </w:r>
    </w:p>
    <w:p w14:paraId="41E8D30C" w14:textId="77777777" w:rsidR="00AC18FF" w:rsidRPr="00AC18FF" w:rsidRDefault="00AC18FF" w:rsidP="00AC18FF"/>
    <w:p w14:paraId="1BF55212" w14:textId="401020D0" w:rsidR="00AC18FF" w:rsidRPr="00AC18FF" w:rsidRDefault="00AC18FF" w:rsidP="00AC18FF">
      <w:r w:rsidRPr="00AC18FF">
        <w:rPr>
          <w:b/>
          <w:bCs/>
        </w:rPr>
        <w:t>Relationship Between Charges:</w:t>
      </w:r>
      <w:r w:rsidRPr="00AC18FF">
        <w:t xml:space="preserve"> The scatterplot of </w:t>
      </w:r>
      <w:proofErr w:type="spellStart"/>
      <w:r w:rsidRPr="00AC18FF">
        <w:t>MonthlyCharges</w:t>
      </w:r>
      <w:proofErr w:type="spellEnd"/>
      <w:r w:rsidRPr="00AC18FF">
        <w:t xml:space="preserve"> vs. </w:t>
      </w:r>
      <w:proofErr w:type="spellStart"/>
      <w:r w:rsidRPr="00AC18FF">
        <w:t>TotalCharges</w:t>
      </w:r>
      <w:proofErr w:type="spellEnd"/>
      <w:r w:rsidRPr="00AC18FF">
        <w:t xml:space="preserve"> shows that churned customers cluster in the lower total charges range, supporting the finding that they leave earlier in their tenure.</w:t>
      </w:r>
    </w:p>
    <w:p w14:paraId="2D5A46CB" w14:textId="77777777" w:rsidR="00AC18FF" w:rsidRPr="00AC18FF" w:rsidRDefault="00AC18FF" w:rsidP="00AC18FF"/>
    <w:p w14:paraId="61B0F2C6" w14:textId="64E0D100" w:rsidR="00AC18FF" w:rsidRPr="00AC18FF" w:rsidRDefault="00AC18FF" w:rsidP="00AC18FF">
      <w:r w:rsidRPr="00AC18FF">
        <w:rPr>
          <w:b/>
          <w:bCs/>
        </w:rPr>
        <w:t>Conclusion:</w:t>
      </w:r>
    </w:p>
    <w:p w14:paraId="5C5E8965" w14:textId="77777777" w:rsidR="00AC18FF" w:rsidRPr="00AC18FF" w:rsidRDefault="00AC18FF" w:rsidP="00AC18FF">
      <w:r w:rsidRPr="00AC18FF">
        <w:t>The analysis highlights that contract type, payment method, tenure, and service features are strong predictors of customer churn. Focusing on converting month-to-month contracts to longer-term contracts, encouraging the use of more secure payment methods, engaging new customers early, and promoting value-added services can help the business reduce churn and improve customer retention.</w:t>
      </w:r>
    </w:p>
    <w:p w14:paraId="0D4F1473" w14:textId="77777777" w:rsidR="0085591E" w:rsidRDefault="0085591E"/>
    <w:sectPr w:rsidR="008559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8FF"/>
    <w:rsid w:val="00427177"/>
    <w:rsid w:val="005B2CF4"/>
    <w:rsid w:val="00605842"/>
    <w:rsid w:val="0085591E"/>
    <w:rsid w:val="00AC18FF"/>
    <w:rsid w:val="00DE4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AE622"/>
  <w15:chartTrackingRefBased/>
  <w15:docId w15:val="{37FA9D96-04A0-4448-BC26-09C0E66ED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18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18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18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18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18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18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18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18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18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18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18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18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18F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18F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18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18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18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18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18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18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18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18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18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18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18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18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18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18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18F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683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8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22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5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3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426</Words>
  <Characters>2431</Characters>
  <Application>Microsoft Office Word</Application>
  <DocSecurity>0</DocSecurity>
  <Lines>20</Lines>
  <Paragraphs>5</Paragraphs>
  <ScaleCrop>false</ScaleCrop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2025-06-28T13:46:00Z</dcterms:created>
  <dcterms:modified xsi:type="dcterms:W3CDTF">2025-06-28T13:48:00Z</dcterms:modified>
</cp:coreProperties>
</file>