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CREDIT AGREEMENT</w:t>
      </w:r>
    </w:p>
    <w:p>
      <w:r>
        <w:t>This Credit Agreement is dated as of January 20, 2025, governed by the laws of the State of New York.</w:t>
      </w:r>
    </w:p>
    <w:p>
      <w:r>
        <w:t>1. THE FACILITY</w:t>
      </w:r>
    </w:p>
    <w:p>
      <w:r>
        <w:t>The Lender agrees to make available to the Borrower a revolving credit facility.</w:t>
      </w:r>
    </w:p>
    <w:p>
      <w:r>
        <w:t>2. INTEREST RATE</w:t>
      </w:r>
    </w:p>
    <w:p>
      <w:r>
        <w:t>Interest shall accrue on the outstanding principal at the applicable rate.</w:t>
      </w:r>
    </w:p>
    <w:p>
      <w:r>
        <w:t>3. COVENANTS</w:t>
      </w:r>
    </w:p>
    <w:p>
      <w:r>
        <w:t>The Borrower shall comply with the financial covenants set forth herein.</w:t>
      </w:r>
    </w:p>
    <w:p>
      <w:r>
        <w:t>4. EVENTS OF DEFAULT</w:t>
      </w:r>
    </w:p>
    <w:p>
      <w:r>
        <w:t>The following constitute events of default under this Credit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