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386"/>
        <w:gridCol w:w="5386"/>
      </w:tblGrid>
      <w:tr>
        <w:tc>
          <w:tcPr>
            <w:tcW w:type="dxa" w:w="2835"/>
            <w:tcMar>
              <w:top w:w="0" w:type="dxa"/>
              <w:start w:w="0" w:type="dxa"/>
              <w:bottom w:w="0" w:type="dxa"/>
              <w:end w:w="0" w:type="dxa"/>
            </w:tcMar>
          </w:tcPr>
          <w:p>
            <w:pPr>
              <w:jc w:val="left"/>
            </w:pPr>
            <w:r>
              <w:drawing>
                <wp:inline xmlns:a="http://schemas.openxmlformats.org/drawingml/2006/main" xmlns:pic="http://schemas.openxmlformats.org/drawingml/2006/picture">
                  <wp:extent cx="1116000" cy="74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16000" cy="744000"/>
                          </a:xfrm>
                          <a:prstGeom prst="rect"/>
                        </pic:spPr>
                      </pic:pic>
                    </a:graphicData>
                  </a:graphic>
                </wp:inline>
              </w:drawing>
            </w:r>
          </w:p>
        </w:tc>
        <w:tc>
          <w:tcPr>
            <w:tcW w:type="dxa" w:w="7938"/>
            <w:tcMar>
              <w:top w:w="0" w:type="dxa"/>
              <w:start w:w="0" w:type="dxa"/>
              <w:bottom w:w="0" w:type="dxa"/>
              <w:end w:w="0" w:type="dxa"/>
            </w:tcMar>
          </w:tcPr>
          <w:p>
            <w:pPr>
              <w:spacing w:after="0"/>
              <w:jc w:val="right"/>
            </w:pPr>
            <w:r>
              <w:rPr>
                <w:rFonts w:ascii="Aptos" w:hAnsi="Aptos"/>
                <w:b/>
                <w:color w:val="F4A228"/>
                <w:sz w:val="16"/>
              </w:rPr>
              <w:t>PROJECT CONCEPT NOTE</w:t>
            </w:r>
          </w:p>
          <w:p>
            <w:pPr>
              <w:spacing w:after="0"/>
              <w:jc w:val="right"/>
            </w:pPr>
            <w:r>
              <w:rPr>
                <w:rFonts w:ascii="Aptos" w:hAnsi="Aptos"/>
                <w:b/>
                <w:color w:val="123E5E"/>
                <w:sz w:val="17"/>
              </w:rPr>
              <w:t>Prepared for Fritt Ord</w:t>
            </w:r>
          </w:p>
        </w:tc>
      </w:tr>
    </w:tbl>
    <w:p>
      <w:pPr>
        <w:spacing w:before="140" w:after="20"/>
      </w:pPr>
      <w:r>
        <w:rPr>
          <w:rFonts w:ascii="Aptos Display" w:hAnsi="Aptos Display"/>
          <w:b/>
          <w:color w:val="123E5E"/>
          <w:sz w:val="42"/>
        </w:rPr>
        <w:t>Dialogue Rooms Norway</w:t>
      </w:r>
    </w:p>
    <w:p>
      <w:pPr>
        <w:spacing w:after="140"/>
      </w:pPr>
      <w:r>
        <w:rPr>
          <w:rFonts w:ascii="Aptos" w:hAnsi="Aptos"/>
          <w:b/>
          <w:color w:val="F4A228"/>
          <w:sz w:val="20"/>
        </w:rPr>
        <w:t>Four public meetings for freedom of expression, trust and democratic participation</w:t>
      </w:r>
    </w:p>
    <w:tbl>
      <w:tblPr>
        <w:tblW w:type="auto" w:w="0"/>
        <w:jc w:val="center"/>
        <w:tblLayout w:type="fixed"/>
        <w:tblLook w:firstColumn="1" w:firstRow="1" w:lastColumn="0" w:lastRow="0" w:noHBand="0" w:noVBand="1" w:val="04A0"/>
      </w:tblPr>
      <w:tblGrid>
        <w:gridCol w:w="2693"/>
        <w:gridCol w:w="2693"/>
        <w:gridCol w:w="2693"/>
        <w:gridCol w:w="2693"/>
      </w:tblGrid>
      <w:tr>
        <w:tc>
          <w:tcPr>
            <w:tcW w:type="dxa" w:w="2693"/>
            <w:tcMar>
              <w:top w:w="95" w:type="dxa"/>
              <w:start w:w="105" w:type="dxa"/>
              <w:bottom w:w="95" w:type="dxa"/>
              <w:end w:w="105" w:type="dxa"/>
            </w:tcMar>
            <w:shd w:fill="123E5E"/>
          </w:tcPr>
          <w:p>
            <w:pPr>
              <w:keepNext/>
              <w:spacing w:after="40"/>
            </w:pPr>
            <w:r>
              <w:rPr>
                <w:rFonts w:ascii="Aptos" w:hAnsi="Aptos"/>
                <w:b/>
                <w:color w:val="FFFFFF"/>
                <w:sz w:val="14"/>
              </w:rPr>
              <w:t>APPLICANT</w:t>
            </w:r>
          </w:p>
          <w:p>
            <w:pPr>
              <w:spacing w:after="0" w:line="247" w:lineRule="auto"/>
            </w:pPr>
            <w:r>
              <w:rPr>
                <w:rFonts w:ascii="Aptos" w:hAnsi="Aptos"/>
                <w:b/>
                <w:color w:val="FFFFFF"/>
                <w:sz w:val="17"/>
              </w:rPr>
              <w:t>The Dialogue Platform</w:t>
            </w:r>
          </w:p>
        </w:tc>
        <w:tc>
          <w:tcPr>
            <w:tcW w:type="dxa" w:w="2693"/>
            <w:tcMar>
              <w:top w:w="95" w:type="dxa"/>
              <w:start w:w="105" w:type="dxa"/>
              <w:bottom w:w="95" w:type="dxa"/>
              <w:end w:w="105" w:type="dxa"/>
            </w:tcMar>
            <w:shd w:fill="123E5E"/>
          </w:tcPr>
          <w:p>
            <w:pPr>
              <w:keepNext/>
              <w:spacing w:after="40"/>
            </w:pPr>
            <w:r>
              <w:rPr>
                <w:rFonts w:ascii="Aptos" w:hAnsi="Aptos"/>
                <w:b/>
                <w:color w:val="FFFFFF"/>
                <w:sz w:val="14"/>
              </w:rPr>
              <w:t>PROPOSED PERIOD</w:t>
            </w:r>
          </w:p>
          <w:p>
            <w:pPr>
              <w:spacing w:after="0" w:line="247" w:lineRule="auto"/>
            </w:pPr>
            <w:r>
              <w:rPr>
                <w:rFonts w:ascii="Aptos" w:hAnsi="Aptos"/>
                <w:b/>
                <w:color w:val="FFFFFF"/>
                <w:sz w:val="17"/>
              </w:rPr>
              <w:t>February-June 2027</w:t>
            </w:r>
          </w:p>
        </w:tc>
        <w:tc>
          <w:tcPr>
            <w:tcW w:type="dxa" w:w="2693"/>
            <w:tcMar>
              <w:top w:w="95" w:type="dxa"/>
              <w:start w:w="105" w:type="dxa"/>
              <w:bottom w:w="95" w:type="dxa"/>
              <w:end w:w="105" w:type="dxa"/>
            </w:tcMar>
            <w:shd w:fill="123E5E"/>
          </w:tcPr>
          <w:p>
            <w:pPr>
              <w:keepNext/>
              <w:spacing w:after="40"/>
            </w:pPr>
            <w:r>
              <w:rPr>
                <w:rFonts w:ascii="Aptos" w:hAnsi="Aptos"/>
                <w:b/>
                <w:color w:val="FFFFFF"/>
                <w:sz w:val="14"/>
              </w:rPr>
              <w:t>LOCATIONS</w:t>
            </w:r>
          </w:p>
          <w:p>
            <w:pPr>
              <w:spacing w:after="0" w:line="247" w:lineRule="auto"/>
            </w:pPr>
            <w:r>
              <w:rPr>
                <w:rFonts w:ascii="Aptos" w:hAnsi="Aptos"/>
                <w:b/>
                <w:color w:val="FFFFFF"/>
                <w:sz w:val="17"/>
              </w:rPr>
              <w:t>Lillestrom and Oslo</w:t>
            </w:r>
          </w:p>
        </w:tc>
        <w:tc>
          <w:tcPr>
            <w:tcW w:type="dxa" w:w="2693"/>
            <w:tcMar>
              <w:top w:w="95" w:type="dxa"/>
              <w:start w:w="105" w:type="dxa"/>
              <w:bottom w:w="95" w:type="dxa"/>
              <w:end w:w="105" w:type="dxa"/>
            </w:tcMar>
            <w:shd w:fill="123E5E"/>
          </w:tcPr>
          <w:p>
            <w:pPr>
              <w:keepNext/>
              <w:spacing w:after="40"/>
            </w:pPr>
            <w:r>
              <w:rPr>
                <w:rFonts w:ascii="Aptos" w:hAnsi="Aptos"/>
                <w:b/>
                <w:color w:val="FFFFFF"/>
                <w:sz w:val="14"/>
              </w:rPr>
              <w:t>FRITT ORD REQUEST</w:t>
            </w:r>
          </w:p>
          <w:p>
            <w:pPr>
              <w:spacing w:after="0" w:line="247" w:lineRule="auto"/>
            </w:pPr>
            <w:r>
              <w:rPr>
                <w:rFonts w:ascii="Aptos" w:hAnsi="Aptos"/>
                <w:b/>
                <w:color w:val="FFFFFF"/>
                <w:sz w:val="17"/>
              </w:rPr>
              <w:t>NOK 100,000</w:t>
            </w:r>
          </w:p>
        </w:tc>
      </w:tr>
    </w:tbl>
    <w:p>
      <w:pPr>
        <w:spacing w:after="40" w:before="0"/>
      </w:pPr>
    </w:p>
    <w:tbl>
      <w:tblPr>
        <w:tblW w:type="auto" w:w="0"/>
        <w:jc w:val="center"/>
        <w:tblLayout w:type="fixed"/>
        <w:tblLook w:firstColumn="1" w:firstRow="1" w:lastColumn="0" w:lastRow="0" w:noHBand="0" w:noVBand="1" w:val="04A0"/>
      </w:tblPr>
      <w:tblGrid>
        <w:gridCol w:w="5386"/>
        <w:gridCol w:w="5386"/>
      </w:tblGrid>
      <w:tr>
        <w:tc>
          <w:tcPr>
            <w:tcW w:type="dxa" w:w="6350"/>
            <w:vAlign w:val="top"/>
            <w:tcMar>
              <w:top w:w="0" w:type="dxa"/>
              <w:start w:w="0" w:type="dxa"/>
              <w:bottom w:w="0" w:type="dxa"/>
              <w:end w:w="0" w:type="dxa"/>
            </w:tcMar>
          </w:tcPr>
          <w:p>
            <w:pPr>
              <w:keepNext/>
              <w:spacing w:after="40"/>
            </w:pPr>
            <w:r>
              <w:rPr>
                <w:rFonts w:ascii="Aptos" w:hAnsi="Aptos"/>
                <w:b/>
                <w:color w:val="F4A228"/>
                <w:sz w:val="14"/>
              </w:rPr>
              <w:t>PURPOSE AND PUBLIC NEED</w:t>
            </w:r>
          </w:p>
          <w:p>
            <w:pPr>
              <w:spacing w:after="100" w:line="247" w:lineRule="auto"/>
            </w:pPr>
            <w:r>
              <w:rPr>
                <w:rFonts w:ascii="Aptos" w:hAnsi="Aptos"/>
                <w:b w:val="0"/>
                <w:color w:val="202A33"/>
                <w:sz w:val="17"/>
              </w:rPr>
              <w:t>Public debate is increasingly shaped by polarization, distrust and unequal access to the spaces where opinions are formed. Minority, diaspora, youth and women voices are often discussed without being fully included. Dialogue Rooms Norway will create open, carefully moderated physical meetings where disagreement can be expressed safely, tested against other experiences and turned into democratic participation.</w:t>
            </w:r>
          </w:p>
          <w:p>
            <w:pPr>
              <w:keepNext/>
              <w:spacing w:after="40"/>
            </w:pPr>
            <w:r>
              <w:rPr>
                <w:rFonts w:ascii="Aptos" w:hAnsi="Aptos"/>
                <w:b/>
                <w:color w:val="F4A228"/>
                <w:sz w:val="14"/>
              </w:rPr>
              <w:t>ACTIVITIES AND METHOD</w:t>
            </w:r>
          </w:p>
          <w:p>
            <w:pPr>
              <w:spacing w:after="60" w:line="247" w:lineRule="auto"/>
            </w:pPr>
            <w:r>
              <w:rPr>
                <w:rFonts w:ascii="Aptos" w:hAnsi="Aptos"/>
                <w:b w:val="0"/>
                <w:color w:val="202A33"/>
                <w:sz w:val="17"/>
              </w:rPr>
              <w:t>The project will deliver four free public meetings, each designed for 60-100 participants. Every meeting combines a short factual framing, two or three invited perspectives, facilitated table dialogue and an open plenary. The method draws on structured exploration, exchange and reflection so participants listen actively, challenge assumptions and identify practical common ground.</w:t>
            </w:r>
          </w:p>
          <w:p>
            <w:pPr>
              <w:pStyle w:val="ListBullet"/>
              <w:spacing w:after="30" w:line="240" w:lineRule="auto"/>
              <w:ind w:left="198" w:hanging="125"/>
            </w:pPr>
            <w:r>
              <w:rPr>
                <w:rFonts w:ascii="Aptos" w:hAnsi="Aptos"/>
                <w:b w:val="0"/>
                <w:color w:val="202A33"/>
                <w:sz w:val="16"/>
              </w:rPr>
              <w:t>Freedom of expression across disagreement</w:t>
            </w:r>
          </w:p>
          <w:p>
            <w:pPr>
              <w:pStyle w:val="ListBullet"/>
              <w:spacing w:after="30" w:line="240" w:lineRule="auto"/>
              <w:ind w:left="198" w:hanging="125"/>
            </w:pPr>
            <w:r>
              <w:rPr>
                <w:rFonts w:ascii="Aptos" w:hAnsi="Aptos"/>
                <w:b w:val="0"/>
                <w:color w:val="202A33"/>
                <w:sz w:val="16"/>
              </w:rPr>
              <w:t>Belonging, identity and democratic participation</w:t>
            </w:r>
          </w:p>
          <w:p>
            <w:pPr>
              <w:pStyle w:val="ListBullet"/>
              <w:spacing w:after="30" w:line="240" w:lineRule="auto"/>
              <w:ind w:left="198" w:hanging="125"/>
            </w:pPr>
            <w:r>
              <w:rPr>
                <w:rFonts w:ascii="Aptos" w:hAnsi="Aptos"/>
                <w:b w:val="0"/>
                <w:color w:val="202A33"/>
                <w:sz w:val="16"/>
              </w:rPr>
              <w:t>Media, misinformation and the language of conflict</w:t>
            </w:r>
          </w:p>
          <w:p>
            <w:pPr>
              <w:pStyle w:val="ListBullet"/>
              <w:spacing w:after="80" w:line="240" w:lineRule="auto"/>
              <w:ind w:left="198" w:hanging="125"/>
            </w:pPr>
            <w:r>
              <w:rPr>
                <w:rFonts w:ascii="Aptos" w:hAnsi="Aptos"/>
                <w:b w:val="0"/>
                <w:color w:val="202A33"/>
                <w:sz w:val="16"/>
              </w:rPr>
              <w:t>From polarization to practical local cooperation</w:t>
            </w:r>
          </w:p>
          <w:p>
            <w:pPr>
              <w:keepNext/>
              <w:spacing w:after="40"/>
            </w:pPr>
            <w:r>
              <w:rPr>
                <w:rFonts w:ascii="Aptos" w:hAnsi="Aptos"/>
                <w:b/>
                <w:color w:val="F4A228"/>
                <w:sz w:val="14"/>
              </w:rPr>
              <w:t>PUBLIC RELEVANCE AND ACCESSIBILITY</w:t>
            </w:r>
          </w:p>
          <w:p>
            <w:pPr>
              <w:spacing w:after="0" w:line="247" w:lineRule="auto"/>
            </w:pPr>
            <w:r>
              <w:rPr>
                <w:rFonts w:ascii="Aptos" w:hAnsi="Aptos"/>
                <w:b w:val="0"/>
                <w:color w:val="202A33"/>
                <w:sz w:val="17"/>
              </w:rPr>
              <w:t>The meetings will be publicly announced and open without charge. Outreach will combine local associations, schools, municipal networks and The Dialogue Platform's digital channels. Moderation and interpretation will be adapted to participant needs. Representation across age, gender and background will be built into speaker selection, while photos or short clips will only be shared with consent.</w:t>
            </w:r>
          </w:p>
        </w:tc>
        <w:tc>
          <w:tcPr>
            <w:tcW w:type="dxa" w:w="4422"/>
            <w:vAlign w:val="top"/>
            <w:tcMar>
              <w:top w:w="0" w:type="dxa"/>
              <w:start w:w="0" w:type="dxa"/>
              <w:bottom w:w="0" w:type="dxa"/>
              <w:end w:w="0" w:type="dxa"/>
            </w:tcMar>
          </w:tcPr>
          <w:p/>
          <w:tbl>
            <w:tblPr>
              <w:tblW w:type="auto" w:w="0"/>
              <w:jc w:val="center"/>
              <w:tblLook w:firstColumn="1" w:firstRow="1" w:lastColumn="0" w:lastRow="0" w:noHBand="0" w:noVBand="1" w:val="04A0"/>
            </w:tblPr>
            <w:tblGrid>
              <w:gridCol w:w="4422"/>
            </w:tblGrid>
            <w:tr>
              <w:tc>
                <w:tcPr>
                  <w:tcW w:type="dxa" w:w="4422"/>
                  <w:tcMar>
                    <w:top w:w="120" w:type="dxa"/>
                    <w:start w:w="135" w:type="dxa"/>
                    <w:bottom w:w="120" w:type="dxa"/>
                    <w:end w:w="135" w:type="dxa"/>
                  </w:tcMar>
                  <w:tcBorders>
                    <w:top w:val="single" w:sz="6" w:color="D9D2C5"/>
                    <w:left w:val="single" w:sz="6" w:color="D9D2C5"/>
                    <w:bottom w:val="single" w:sz="6" w:color="D9D2C5"/>
                    <w:right w:val="single" w:sz="6" w:color="D9D2C5"/>
                  </w:tcBorders>
                  <w:shd w:fill="F7F3EA"/>
                </w:tcPr>
                <w:p>
                  <w:pPr>
                    <w:keepNext/>
                    <w:spacing w:after="40"/>
                  </w:pPr>
                  <w:r>
                    <w:rPr>
                      <w:rFonts w:ascii="Aptos" w:hAnsi="Aptos"/>
                      <w:b/>
                      <w:color w:val="F4A228"/>
                      <w:sz w:val="14"/>
                    </w:rPr>
                    <w:t>EXPECTED RESULTS</w:t>
                  </w:r>
                </w:p>
                <w:p>
                  <w:pPr>
                    <w:pStyle w:val="ListBullet"/>
                    <w:spacing w:after="30" w:line="240" w:lineRule="auto"/>
                    <w:ind w:left="198" w:hanging="125"/>
                  </w:pPr>
                  <w:r>
                    <w:rPr>
                      <w:rFonts w:ascii="Aptos" w:hAnsi="Aptos"/>
                      <w:b w:val="0"/>
                      <w:color w:val="202A33"/>
                      <w:sz w:val="16"/>
                    </w:rPr>
                    <w:t>4 moderated public dialogue meetings</w:t>
                  </w:r>
                </w:p>
                <w:p>
                  <w:pPr>
                    <w:pStyle w:val="ListBullet"/>
                    <w:spacing w:after="30" w:line="240" w:lineRule="auto"/>
                    <w:ind w:left="198" w:hanging="125"/>
                  </w:pPr>
                  <w:r>
                    <w:rPr>
                      <w:rFonts w:ascii="Aptos" w:hAnsi="Aptos"/>
                      <w:b w:val="0"/>
                      <w:color w:val="202A33"/>
                      <w:sz w:val="16"/>
                    </w:rPr>
                    <w:t>240-400 participants in total</w:t>
                  </w:r>
                </w:p>
                <w:p>
                  <w:pPr>
                    <w:pStyle w:val="ListBullet"/>
                    <w:spacing w:after="30" w:line="240" w:lineRule="auto"/>
                    <w:ind w:left="198" w:hanging="125"/>
                  </w:pPr>
                  <w:r>
                    <w:rPr>
                      <w:rFonts w:ascii="Aptos" w:hAnsi="Aptos"/>
                      <w:b w:val="0"/>
                      <w:color w:val="202A33"/>
                      <w:sz w:val="16"/>
                    </w:rPr>
                    <w:t>4 concise public event summaries</w:t>
                  </w:r>
                </w:p>
                <w:p>
                  <w:pPr>
                    <w:pStyle w:val="ListBullet"/>
                    <w:spacing w:after="80" w:line="240" w:lineRule="auto"/>
                    <w:ind w:left="198" w:hanging="125"/>
                  </w:pPr>
                  <w:r>
                    <w:rPr>
                      <w:rFonts w:ascii="Aptos" w:hAnsi="Aptos"/>
                      <w:b w:val="0"/>
                      <w:color w:val="202A33"/>
                      <w:sz w:val="16"/>
                    </w:rPr>
                    <w:t>1 final learning note with recommendations</w:t>
                  </w:r>
                </w:p>
                <w:p>
                  <w:pPr>
                    <w:keepNext/>
                    <w:spacing w:after="40"/>
                  </w:pPr>
                  <w:r>
                    <w:rPr>
                      <w:rFonts w:ascii="Aptos" w:hAnsi="Aptos"/>
                      <w:b/>
                      <w:color w:val="F4A228"/>
                      <w:sz w:val="14"/>
                    </w:rPr>
                    <w:t>SUCCESS MEASURES</w:t>
                  </w:r>
                </w:p>
                <w:p>
                  <w:pPr>
                    <w:pStyle w:val="ListBullet"/>
                    <w:spacing w:after="30" w:line="240" w:lineRule="auto"/>
                    <w:ind w:left="198" w:hanging="125"/>
                  </w:pPr>
                  <w:r>
                    <w:rPr>
                      <w:rFonts w:ascii="Aptos" w:hAnsi="Aptos"/>
                      <w:b w:val="0"/>
                      <w:color w:val="202A33"/>
                      <w:sz w:val="16"/>
                    </w:rPr>
                    <w:t>Attendance and participant diversity</w:t>
                  </w:r>
                </w:p>
                <w:p>
                  <w:pPr>
                    <w:pStyle w:val="ListBullet"/>
                    <w:spacing w:after="30" w:line="240" w:lineRule="auto"/>
                    <w:ind w:left="198" w:hanging="125"/>
                  </w:pPr>
                  <w:r>
                    <w:rPr>
                      <w:rFonts w:ascii="Aptos" w:hAnsi="Aptos"/>
                      <w:b w:val="0"/>
                      <w:color w:val="202A33"/>
                      <w:sz w:val="16"/>
                    </w:rPr>
                    <w:t>At least 75% report greater understanding of another perspective</w:t>
                  </w:r>
                </w:p>
                <w:p>
                  <w:pPr>
                    <w:pStyle w:val="ListBullet"/>
                    <w:spacing w:after="80" w:line="240" w:lineRule="auto"/>
                    <w:ind w:left="198" w:hanging="125"/>
                  </w:pPr>
                  <w:r>
                    <w:rPr>
                      <w:rFonts w:ascii="Aptos" w:hAnsi="Aptos"/>
                      <w:b w:val="0"/>
                      <w:color w:val="202A33"/>
                      <w:sz w:val="16"/>
                    </w:rPr>
                    <w:t>New collaborations or follow-up actions recorded after each meeting</w:t>
                  </w:r>
                </w:p>
                <w:p>
                  <w:pPr>
                    <w:keepNext/>
                    <w:spacing w:after="40"/>
                  </w:pPr>
                  <w:r>
                    <w:rPr>
                      <w:rFonts w:ascii="Aptos" w:hAnsi="Aptos"/>
                      <w:b/>
                      <w:color w:val="F4A228"/>
                      <w:sz w:val="14"/>
                    </w:rPr>
                    <w:t>PROVISIONAL BUDGET</w:t>
                  </w:r>
                </w:p>
                <w:tbl>
                  <w:tblPr>
                    <w:tblW w:type="auto" w:w="0"/>
                    <w:tblLayout w:type="fixed"/>
                    <w:tblLook w:firstColumn="1" w:firstRow="1" w:lastColumn="0" w:lastRow="0" w:noHBand="0" w:noVBand="1" w:val="04A0"/>
                  </w:tblPr>
                  <w:tblGrid>
                    <w:gridCol w:w="2211"/>
                    <w:gridCol w:w="2211"/>
                  </w:tblGrid>
                  <w:tr>
                    <w:tc>
                      <w:tcPr>
                        <w:tcW w:type="dxa" w:w="2721"/>
                      </w:tcPr>
                      <w:p>
                        <w:pPr>
                          <w:spacing w:after="10"/>
                        </w:pPr>
                        <w:r>
                          <w:rPr>
                            <w:rFonts w:ascii="Aptos" w:hAnsi="Aptos"/>
                            <w:b w:val="0"/>
                            <w:color w:val="5B6873"/>
                            <w:sz w:val="15"/>
                          </w:rPr>
                          <w:t>Facilitation and moderation</w:t>
                        </w:r>
                      </w:p>
                    </w:tc>
                    <w:tc>
                      <w:tcPr>
                        <w:tcW w:type="dxa" w:w="963"/>
                      </w:tcPr>
                      <w:p>
                        <w:pPr>
                          <w:spacing w:after="10"/>
                          <w:jc w:val="right"/>
                        </w:pPr>
                        <w:r>
                          <w:rPr>
                            <w:rFonts w:ascii="Aptos" w:hAnsi="Aptos"/>
                            <w:b/>
                            <w:color w:val="202A33"/>
                            <w:sz w:val="15"/>
                          </w:rPr>
                          <w:t>40,000</w:t>
                        </w:r>
                      </w:p>
                    </w:tc>
                  </w:tr>
                  <w:tr>
                    <w:tc>
                      <w:tcPr>
                        <w:tcW w:type="dxa" w:w="2721"/>
                      </w:tcPr>
                      <w:p>
                        <w:pPr>
                          <w:spacing w:after="10"/>
                        </w:pPr>
                        <w:r>
                          <w:rPr>
                            <w:rFonts w:ascii="Aptos" w:hAnsi="Aptos"/>
                            <w:b w:val="0"/>
                            <w:color w:val="5B6873"/>
                            <w:sz w:val="15"/>
                          </w:rPr>
                          <w:t>Venue and technical delivery</w:t>
                        </w:r>
                      </w:p>
                    </w:tc>
                    <w:tc>
                      <w:tcPr>
                        <w:tcW w:type="dxa" w:w="963"/>
                      </w:tcPr>
                      <w:p>
                        <w:pPr>
                          <w:spacing w:after="10"/>
                          <w:jc w:val="right"/>
                        </w:pPr>
                        <w:r>
                          <w:rPr>
                            <w:rFonts w:ascii="Aptos" w:hAnsi="Aptos"/>
                            <w:b/>
                            <w:color w:val="202A33"/>
                            <w:sz w:val="15"/>
                          </w:rPr>
                          <w:t>32,000</w:t>
                        </w:r>
                      </w:p>
                    </w:tc>
                  </w:tr>
                  <w:tr>
                    <w:tc>
                      <w:tcPr>
                        <w:tcW w:type="dxa" w:w="2721"/>
                      </w:tcPr>
                      <w:p>
                        <w:pPr>
                          <w:spacing w:after="10"/>
                        </w:pPr>
                        <w:r>
                          <w:rPr>
                            <w:rFonts w:ascii="Aptos" w:hAnsi="Aptos"/>
                            <w:b w:val="0"/>
                            <w:color w:val="5B6873"/>
                            <w:sz w:val="15"/>
                          </w:rPr>
                          <w:t>Guest travel and honoraria</w:t>
                        </w:r>
                      </w:p>
                    </w:tc>
                    <w:tc>
                      <w:tcPr>
                        <w:tcW w:type="dxa" w:w="963"/>
                      </w:tcPr>
                      <w:p>
                        <w:pPr>
                          <w:spacing w:after="10"/>
                          <w:jc w:val="right"/>
                        </w:pPr>
                        <w:r>
                          <w:rPr>
                            <w:rFonts w:ascii="Aptos" w:hAnsi="Aptos"/>
                            <w:b/>
                            <w:color w:val="202A33"/>
                            <w:sz w:val="15"/>
                          </w:rPr>
                          <w:t>24,000</w:t>
                        </w:r>
                      </w:p>
                    </w:tc>
                  </w:tr>
                  <w:tr>
                    <w:tc>
                      <w:tcPr>
                        <w:tcW w:type="dxa" w:w="2721"/>
                      </w:tcPr>
                      <w:p>
                        <w:pPr>
                          <w:spacing w:after="10"/>
                        </w:pPr>
                        <w:r>
                          <w:rPr>
                            <w:rFonts w:ascii="Aptos" w:hAnsi="Aptos"/>
                            <w:b w:val="0"/>
                            <w:color w:val="5B6873"/>
                            <w:sz w:val="15"/>
                          </w:rPr>
                          <w:t>Interpretation and accessibility</w:t>
                        </w:r>
                      </w:p>
                    </w:tc>
                    <w:tc>
                      <w:tcPr>
                        <w:tcW w:type="dxa" w:w="963"/>
                      </w:tcPr>
                      <w:p>
                        <w:pPr>
                          <w:spacing w:after="10"/>
                          <w:jc w:val="right"/>
                        </w:pPr>
                        <w:r>
                          <w:rPr>
                            <w:rFonts w:ascii="Aptos" w:hAnsi="Aptos"/>
                            <w:b/>
                            <w:color w:val="202A33"/>
                            <w:sz w:val="15"/>
                          </w:rPr>
                          <w:t>20,000</w:t>
                        </w:r>
                      </w:p>
                    </w:tc>
                  </w:tr>
                  <w:tr>
                    <w:tc>
                      <w:tcPr>
                        <w:tcW w:type="dxa" w:w="2721"/>
                      </w:tcPr>
                      <w:p>
                        <w:pPr>
                          <w:spacing w:after="10"/>
                        </w:pPr>
                        <w:r>
                          <w:rPr>
                            <w:rFonts w:ascii="Aptos" w:hAnsi="Aptos"/>
                            <w:b w:val="0"/>
                            <w:color w:val="5B6873"/>
                            <w:sz w:val="15"/>
                          </w:rPr>
                          <w:t>Outreach and design</w:t>
                        </w:r>
                      </w:p>
                    </w:tc>
                    <w:tc>
                      <w:tcPr>
                        <w:tcW w:type="dxa" w:w="963"/>
                      </w:tcPr>
                      <w:p>
                        <w:pPr>
                          <w:spacing w:after="10"/>
                          <w:jc w:val="right"/>
                        </w:pPr>
                        <w:r>
                          <w:rPr>
                            <w:rFonts w:ascii="Aptos" w:hAnsi="Aptos"/>
                            <w:b/>
                            <w:color w:val="202A33"/>
                            <w:sz w:val="15"/>
                          </w:rPr>
                          <w:t>18,000</w:t>
                        </w:r>
                      </w:p>
                    </w:tc>
                  </w:tr>
                  <w:tr>
                    <w:tc>
                      <w:tcPr>
                        <w:tcW w:type="dxa" w:w="2721"/>
                      </w:tcPr>
                      <w:p>
                        <w:pPr>
                          <w:spacing w:after="10"/>
                        </w:pPr>
                        <w:r>
                          <w:rPr>
                            <w:rFonts w:ascii="Aptos" w:hAnsi="Aptos"/>
                            <w:b w:val="0"/>
                            <w:color w:val="5B6873"/>
                            <w:sz w:val="15"/>
                          </w:rPr>
                          <w:t>Documentation and evaluation</w:t>
                        </w:r>
                      </w:p>
                    </w:tc>
                    <w:tc>
                      <w:tcPr>
                        <w:tcW w:type="dxa" w:w="963"/>
                      </w:tcPr>
                      <w:p>
                        <w:pPr>
                          <w:spacing w:after="10"/>
                          <w:jc w:val="right"/>
                        </w:pPr>
                        <w:r>
                          <w:rPr>
                            <w:rFonts w:ascii="Aptos" w:hAnsi="Aptos"/>
                            <w:b/>
                            <w:color w:val="202A33"/>
                            <w:sz w:val="15"/>
                          </w:rPr>
                          <w:t>16,000</w:t>
                        </w:r>
                      </w:p>
                    </w:tc>
                  </w:tr>
                  <w:tr>
                    <w:tc>
                      <w:tcPr>
                        <w:tcW w:type="dxa" w:w="2721"/>
                      </w:tcPr>
                      <w:p>
                        <w:pPr>
                          <w:spacing w:after="10"/>
                        </w:pPr>
                        <w:r>
                          <w:rPr>
                            <w:rFonts w:ascii="Aptos" w:hAnsi="Aptos"/>
                            <w:b w:val="0"/>
                            <w:color w:val="5B6873"/>
                            <w:sz w:val="15"/>
                          </w:rPr>
                          <w:t>Administration and contingency</w:t>
                        </w:r>
                      </w:p>
                    </w:tc>
                    <w:tc>
                      <w:tcPr>
                        <w:tcW w:type="dxa" w:w="963"/>
                      </w:tcPr>
                      <w:p>
                        <w:pPr>
                          <w:spacing w:after="10"/>
                          <w:jc w:val="right"/>
                        </w:pPr>
                        <w:r>
                          <w:rPr>
                            <w:rFonts w:ascii="Aptos" w:hAnsi="Aptos"/>
                            <w:b/>
                            <w:color w:val="202A33"/>
                            <w:sz w:val="15"/>
                          </w:rPr>
                          <w:t>10,000</w:t>
                        </w:r>
                      </w:p>
                    </w:tc>
                  </w:tr>
                </w:tbl>
                <w:p/>
                <w:p>
                  <w:pPr>
                    <w:spacing w:before="40" w:after="20"/>
                  </w:pPr>
                  <w:r>
                    <w:rPr>
                      <w:rFonts w:ascii="Aptos" w:hAnsi="Aptos"/>
                      <w:b/>
                      <w:color w:val="123E5E"/>
                      <w:sz w:val="16"/>
                    </w:rPr>
                    <w:t>Total project cost: NOK 160,000</w:t>
                  </w:r>
                </w:p>
                <w:p>
                  <w:pPr>
                    <w:spacing w:after="0"/>
                  </w:pPr>
                  <w:r>
                    <w:rPr>
                      <w:rFonts w:ascii="Aptos" w:hAnsi="Aptos"/>
                      <w:b/>
                      <w:color w:val="202A33"/>
                      <w:sz w:val="15"/>
                    </w:rPr>
                    <w:t>Fritt Ord: NOK 100,000 | Own, volunteer and partner contribution: NOK 60,000</w:t>
                  </w:r>
                </w:p>
              </w:tc>
            </w:tr>
          </w:tbl>
          <w:p/>
        </w:tc>
      </w:tr>
    </w:tbl>
    <w:tbl>
      <w:tblPr>
        <w:tblW w:type="auto" w:w="0"/>
        <w:jc w:val="center"/>
        <w:tblLayout w:type="fixed"/>
        <w:tblLook w:firstColumn="1" w:firstRow="1" w:lastColumn="0" w:lastRow="0" w:noHBand="0" w:noVBand="1" w:val="04A0"/>
      </w:tblPr>
      <w:tblGrid>
        <w:gridCol w:w="5386"/>
        <w:gridCol w:w="5386"/>
      </w:tblGrid>
      <w:tr>
        <w:tc>
          <w:tcPr>
            <w:tcW w:type="dxa" w:w="6917"/>
            <w:tcMar>
              <w:top w:w="95" w:type="dxa"/>
              <w:start w:w="110" w:type="dxa"/>
              <w:bottom w:w="85" w:type="dxa"/>
              <w:end w:w="110" w:type="dxa"/>
            </w:tcMar>
            <w:shd w:fill="123E5E"/>
          </w:tcPr>
          <w:p>
            <w:pPr>
              <w:keepNext/>
              <w:spacing w:after="40"/>
            </w:pPr>
            <w:r>
              <w:rPr>
                <w:rFonts w:ascii="Aptos" w:hAnsi="Aptos"/>
                <w:b/>
                <w:color w:val="FFFFFF"/>
                <w:sz w:val="14"/>
              </w:rPr>
              <w:t>APPLICANT CAPACITY</w:t>
            </w:r>
          </w:p>
          <w:p>
            <w:pPr>
              <w:spacing w:after="0" w:line="247" w:lineRule="auto"/>
            </w:pPr>
            <w:r>
              <w:rPr>
                <w:rFonts w:ascii="Aptos" w:hAnsi="Aptos"/>
                <w:b w:val="0"/>
                <w:color w:val="FFFFFF"/>
                <w:sz w:val="15"/>
              </w:rPr>
              <w:t>The Dialogue Platform is an independent, non-profit initiative based in Lillestrom. It has organized seminars, workshops and public dialogues in cooperation with community actors, with approximately 380 direct participants across 11 activities and more than 40,000 combined online views reported to date.</w:t>
            </w:r>
          </w:p>
        </w:tc>
        <w:tc>
          <w:tcPr>
            <w:tcW w:type="dxa" w:w="3855"/>
            <w:tcMar>
              <w:top w:w="95" w:type="dxa"/>
              <w:start w:w="110" w:type="dxa"/>
              <w:bottom w:w="85" w:type="dxa"/>
              <w:end w:w="110" w:type="dxa"/>
            </w:tcMar>
            <w:shd w:fill="123E5E"/>
          </w:tcPr>
          <w:p>
            <w:pPr>
              <w:keepNext/>
              <w:spacing w:after="40"/>
            </w:pPr>
            <w:r>
              <w:rPr>
                <w:rFonts w:ascii="Aptos" w:hAnsi="Aptos"/>
                <w:b/>
                <w:color w:val="FFFFFF"/>
                <w:sz w:val="14"/>
              </w:rPr>
              <w:t>CONTACT</w:t>
            </w:r>
          </w:p>
          <w:p>
            <w:pPr>
              <w:spacing w:after="0" w:line="247" w:lineRule="auto"/>
            </w:pPr>
            <w:r>
              <w:rPr>
                <w:rFonts w:ascii="Aptos" w:hAnsi="Aptos"/>
                <w:b/>
                <w:color w:val="FFFFFF"/>
                <w:sz w:val="15"/>
              </w:rPr>
              <w:t>Omran Adam</w:t>
              <w:br/>
              <w:t>contact@thedialogueplatform.com</w:t>
              <w:br/>
              <w:t>thedialogueplatform.com</w:t>
              <w:br/>
              <w:t>Org. no. 935 674 220</w:t>
            </w:r>
          </w:p>
        </w:tc>
      </w:tr>
    </w:tbl>
    <w:sectPr w:rsidR="00FC693F" w:rsidRPr="0006063C" w:rsidSect="00034616">
      <w:footerReference w:type="default" r:id="rId10"/>
      <w:pgSz w:w="11906" w:h="16838"/>
      <w:pgMar w:top="482" w:right="567" w:bottom="425" w:left="567"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5B6873"/>
        <w:sz w:val="13"/>
      </w:rPr>
      <w:t>DIALOGUE ROOMS NORWAY  |  ONE-PAGE PROJECT CONCEPT  |  THE DIALOGUE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Dialogue Rooms Norway - Fritt Ord Concept Note</dc:title>
  <dc:subject>One-page project concept note for public physical dialogue meetings</dc:subject>
  <dc:creator>The Dialogue Platform</dc:creator>
  <cp:keywords>Fritt Ord, dialogue, freedom of expression, public meetings, democracy</cp:keywords>
  <dc:description>generated by python-docx</dc:description>
  <cp:lastModifiedBy/>
  <cp:revision>1</cp:revision>
  <dcterms:created xsi:type="dcterms:W3CDTF">2013-12-23T23:15:00Z</dcterms:created>
  <dcterms:modified xsi:type="dcterms:W3CDTF">2013-12-23T23:15:00Z</dcterms:modified>
  <cp:category/>
</cp:coreProperties>
</file>