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i w:val="0"/>
          <w:color w:val="111111"/>
          <w:sz w:val="38"/>
          <w:spacing w:val="24"/>
        </w:rPr>
        <w:t>Riket B. Patel</w:t>
      </w:r>
    </w:p>
    <w:p>
      <w:pPr>
        <w:spacing w:before="0" w:after="40" w:line="288" w:lineRule="auto"/>
      </w:pPr>
      <w:r>
        <w:rPr>
          <w:rFonts w:ascii="Calibri" w:hAnsi="Calibri"/>
          <w:b w:val="0"/>
          <w:i w:val="0"/>
          <w:color w:val="555555"/>
          <w:sz w:val="19"/>
        </w:rPr>
        <w:t>56 Benford Ln, Edgewater Park, NJ 08010 · (267) 408-6295 · Riketpatel@gmail.com · U.S. Citizen</w:t>
      </w:r>
    </w:p>
    <w:p>
      <w:pPr>
        <w:spacing w:before="320" w:after="240" w:line="312" w:lineRule="auto"/>
      </w:pPr>
      <w:r>
        <w:rPr>
          <w:rFonts w:ascii="Calibri" w:hAnsi="Calibri"/>
          <w:b w:val="0"/>
          <w:i w:val="0"/>
          <w:color w:val="111111"/>
          <w:sz w:val="22"/>
        </w:rPr>
        <w:t>May 14, 2026</w:t>
      </w:r>
    </w:p>
    <w:p>
      <w:pPr>
        <w:spacing w:before="0" w:after="0" w:line="312" w:lineRule="auto"/>
      </w:pPr>
      <w:r>
        <w:rPr>
          <w:rFonts w:ascii="Calibri" w:hAnsi="Calibri"/>
          <w:b w:val="0"/>
          <w:i w:val="0"/>
          <w:color w:val="111111"/>
          <w:sz w:val="22"/>
        </w:rPr>
        <w:t>Human Resources</w:t>
      </w:r>
    </w:p>
    <w:p>
      <w:pPr>
        <w:spacing w:before="0" w:after="0" w:line="312" w:lineRule="auto"/>
      </w:pPr>
      <w:r>
        <w:rPr>
          <w:rFonts w:ascii="Calibri" w:hAnsi="Calibri"/>
          <w:b w:val="0"/>
          <w:i w:val="0"/>
          <w:color w:val="111111"/>
          <w:sz w:val="22"/>
        </w:rPr>
        <w:t>New Jersey Judiciary</w:t>
      </w:r>
    </w:p>
    <w:p>
      <w:pPr>
        <w:spacing w:before="0" w:after="0" w:line="312" w:lineRule="auto"/>
      </w:pPr>
      <w:r>
        <w:rPr>
          <w:rFonts w:ascii="Calibri" w:hAnsi="Calibri"/>
          <w:b w:val="0"/>
          <w:i w:val="0"/>
          <w:color w:val="111111"/>
          <w:sz w:val="22"/>
        </w:rPr>
        <w:t>Re: Business Analyst / Information Technology Analyst 2 (Job ID 5318997)</w:t>
      </w:r>
    </w:p>
    <w:p>
      <w:pPr>
        <w:spacing w:before="320" w:after="160" w:line="336" w:lineRule="auto"/>
      </w:pPr>
      <w:r>
        <w:rPr>
          <w:rFonts w:ascii="Calibri" w:hAnsi="Calibri"/>
          <w:b w:val="0"/>
          <w:i w:val="0"/>
          <w:color w:val="111111"/>
          <w:sz w:val="23"/>
        </w:rPr>
        <w:t>Dear Hiring Team,</w:t>
      </w:r>
    </w:p>
    <w:p>
      <w:pPr>
        <w:spacing w:before="0" w:after="160" w:line="360" w:lineRule="auto"/>
      </w:pPr>
      <w:r>
        <w:rPr>
          <w:rFonts w:ascii="Calibri" w:hAnsi="Calibri"/>
          <w:b w:val="0"/>
          <w:i w:val="0"/>
          <w:color w:val="111111"/>
          <w:sz w:val="23"/>
        </w:rPr>
        <w:t>I am applying for the Business Analyst / Information Technology Analyst 2 role. I'd like to address upfront what your screening team will likely see first: my most recent title was Product Manager at Merck, which is more senior than this role. I want to explain why I'm applying anyway, because I'd rather be honest about that than have it raise a flag in your review.</w:t>
      </w:r>
    </w:p>
    <w:p>
      <w:pPr>
        <w:spacing w:before="200" w:after="80" w:line="336" w:lineRule="auto"/>
      </w:pPr>
      <w:r>
        <w:rPr>
          <w:rFonts w:ascii="Calibri" w:hAnsi="Calibri"/>
          <w:b/>
          <w:i w:val="0"/>
          <w:color w:val="1A3A2A"/>
          <w:sz w:val="24"/>
        </w:rPr>
        <w:t>Why I'm applying to this role</w:t>
      </w:r>
    </w:p>
    <w:p>
      <w:pPr>
        <w:spacing w:before="0" w:after="160" w:line="360" w:lineRule="auto"/>
      </w:pPr>
      <w:r>
        <w:rPr>
          <w:rFonts w:ascii="Calibri" w:hAnsi="Calibri"/>
          <w:b w:val="0"/>
          <w:i w:val="0"/>
          <w:color w:val="111111"/>
          <w:sz w:val="23"/>
        </w:rPr>
        <w:t>I started my career as a Business / Technical Analyst at Merck in 2018, and I spent the first four years of my Merck tenure doing exactly the work this role describes — gathering requirements from non-technical stakeholders, translating them into specifications, coordinating with delivery teams, and maintaining the documentation that compliance audits depend on. I was promoted into product management because I was good at the BA work, not because I wanted to leave it behind. Returning to a Business Analyst seat at the New Jersey Judiciary isn't a step backward for me; it's a choice to do the work that I'm best at in a place where it actually matters — for residents of the state I live in, on systems that affect real people's lives.</w:t>
      </w:r>
    </w:p>
    <w:p>
      <w:pPr>
        <w:spacing w:before="200" w:after="80" w:line="336" w:lineRule="auto"/>
      </w:pPr>
      <w:r>
        <w:rPr>
          <w:rFonts w:ascii="Calibri" w:hAnsi="Calibri"/>
          <w:b/>
          <w:i w:val="0"/>
          <w:color w:val="1A3A2A"/>
          <w:sz w:val="24"/>
        </w:rPr>
        <w:t>What I bring</w:t>
      </w:r>
    </w:p>
    <w:p>
      <w:pPr>
        <w:spacing w:before="0" w:after="160" w:line="360" w:lineRule="auto"/>
      </w:pPr>
      <w:r>
        <w:rPr>
          <w:rFonts w:ascii="Calibri" w:hAnsi="Calibri"/>
          <w:b w:val="0"/>
          <w:i w:val="0"/>
          <w:color w:val="111111"/>
          <w:sz w:val="23"/>
        </w:rPr>
        <w:t xml:space="preserve">Seven years inside a Fortune 100 regulated environment. I served as the subject-matter expert for </w:t>
      </w:r>
      <w:r>
        <w:rPr>
          <w:rFonts w:ascii="Calibri" w:hAnsi="Calibri"/>
          <w:b/>
          <w:i w:val="0"/>
          <w:color w:val="111111"/>
          <w:sz w:val="23"/>
        </w:rPr>
        <w:t>regulatory audit-readiness</w:t>
      </w:r>
      <w:r>
        <w:rPr>
          <w:rFonts w:ascii="Calibri" w:hAnsi="Calibri"/>
          <w:b w:val="0"/>
          <w:i w:val="0"/>
          <w:color w:val="111111"/>
          <w:sz w:val="23"/>
        </w:rPr>
        <w:t xml:space="preserve"> across three inspection-sensitive systems — audit trails, user access, data integrity. That's a direct skill-set match for the records-integrity and access-control work a court system requires. I led a multi-system program at Merck that eliminated about 10,000 hours of annual manual effort for stakeholder teams across six countries. I designed and shipped a multi-language submission platform that cut a regulated processing cycle from six months to about a week — the same pattern as the multi-jurisdiction, multi-language, accessibility-mandated workflows the Judiciary is modernizing.</w:t>
      </w:r>
    </w:p>
    <w:p>
      <w:pPr>
        <w:spacing w:before="0" w:after="160" w:line="360" w:lineRule="auto"/>
      </w:pPr>
      <w:r>
        <w:rPr>
          <w:rFonts w:ascii="Calibri" w:hAnsi="Calibri"/>
          <w:b w:val="0"/>
          <w:i w:val="0"/>
          <w:color w:val="111111"/>
          <w:sz w:val="23"/>
        </w:rPr>
        <w:t>On tools: I work daily in JIRA, Confluence, Mural, SQL, and the Microsoft 365 stack. I'm trilingual (English, Hindi, Gujarati) — useful in a court system where interpreter coordination and accessibility-mandated translation are real concerns.</w:t>
      </w:r>
    </w:p>
    <w:p>
      <w:pPr>
        <w:spacing w:before="200" w:after="80" w:line="336" w:lineRule="auto"/>
      </w:pPr>
      <w:r>
        <w:rPr>
          <w:rFonts w:ascii="Calibri" w:hAnsi="Calibri"/>
          <w:b/>
          <w:i w:val="0"/>
          <w:color w:val="1A3A2A"/>
          <w:sz w:val="24"/>
        </w:rPr>
        <w:t>Why public service, why now</w:t>
      </w:r>
    </w:p>
    <w:p>
      <w:pPr>
        <w:spacing w:before="0" w:after="160" w:line="360" w:lineRule="auto"/>
      </w:pPr>
      <w:r>
        <w:rPr>
          <w:rFonts w:ascii="Calibri" w:hAnsi="Calibri"/>
          <w:b w:val="0"/>
          <w:i w:val="0"/>
          <w:color w:val="111111"/>
          <w:sz w:val="23"/>
        </w:rPr>
        <w:t>My family came to the United States from a small village in Anand, Gujarat. We settled in Bristol, Pennsylvania, where my parents built a life from scratch. I now live in Edgewater Park, New Jersey with my wife and son. The community that raised me — teachers, courts, libraries, the people who staff the windows where you renew your driver's license — was the public sector. I want to spend a chapter of my career repaying some of that. The Judiciary's mission — an accessible, accountable court system — is one I'd genuinely be proud to point my son toward someday.</w:t>
      </w:r>
    </w:p>
    <w:p>
      <w:pPr>
        <w:spacing w:before="0" w:after="160" w:line="360" w:lineRule="auto"/>
      </w:pPr>
      <w:r>
        <w:rPr>
          <w:rFonts w:ascii="Calibri" w:hAnsi="Calibri"/>
          <w:b w:val="0"/>
          <w:i w:val="0"/>
          <w:color w:val="111111"/>
          <w:sz w:val="23"/>
        </w:rPr>
        <w:t>A practical note: I hold an active New Jersey Real Estate Salesperson license, which means I already work weekly with state-regulated systems and processes. I'm not new to the rhythms of how New Jersey government does business.</w:t>
      </w:r>
    </w:p>
    <w:p>
      <w:pPr>
        <w:spacing w:before="200" w:after="80" w:line="336" w:lineRule="auto"/>
      </w:pPr>
      <w:r>
        <w:rPr>
          <w:rFonts w:ascii="Calibri" w:hAnsi="Calibri"/>
          <w:b/>
          <w:i w:val="0"/>
          <w:color w:val="1A3A2A"/>
          <w:sz w:val="24"/>
        </w:rPr>
        <w:t>Commitment</w:t>
      </w:r>
    </w:p>
    <w:p>
      <w:pPr>
        <w:spacing w:before="0" w:after="160" w:line="360" w:lineRule="auto"/>
      </w:pPr>
      <w:r>
        <w:rPr>
          <w:rFonts w:ascii="Calibri" w:hAnsi="Calibri"/>
          <w:b w:val="0"/>
          <w:i w:val="0"/>
          <w:color w:val="111111"/>
          <w:sz w:val="23"/>
        </w:rPr>
        <w:t>A reasonable concern with someone whose résumé shows a senior corporate title is "flight risk." I want to address it plainly: I am not interviewing this role as a stopgap. South Jersey is home; we're not relocating. The small ventures I founded after leaving Merck (a real-estate practice, a brokerage practice, and a few small consumer brands) are explicitly part-time and structured to coexist with a full-time job — I built them on nights and weekends and they were always meant to be that. If hired, I'd plan on staying long enough to ship multiple full project cycles, not 18 months.</w:t>
      </w:r>
    </w:p>
    <w:p>
      <w:pPr>
        <w:spacing w:before="0" w:after="160" w:line="360" w:lineRule="auto"/>
      </w:pPr>
      <w:r>
        <w:rPr>
          <w:rFonts w:ascii="Calibri" w:hAnsi="Calibri"/>
          <w:b w:val="0"/>
          <w:i w:val="0"/>
          <w:color w:val="111111"/>
          <w:sz w:val="23"/>
        </w:rPr>
        <w:t>My résumé, tailored to this role, is at riketpatel.com/resume/nj-judiciary/. My broader background is at riketpatel.com. References are available on request — senior leadership and peer references from Merck, all based in the United States and reachable by phone.</w:t>
      </w:r>
    </w:p>
    <w:p>
      <w:pPr>
        <w:spacing w:before="0" w:after="160" w:line="360" w:lineRule="auto"/>
      </w:pPr>
      <w:r>
        <w:rPr>
          <w:rFonts w:ascii="Calibri" w:hAnsi="Calibri"/>
          <w:b w:val="0"/>
          <w:i w:val="0"/>
          <w:color w:val="111111"/>
          <w:sz w:val="23"/>
        </w:rPr>
        <w:t>Thank you for the work the Judiciary does and for considering this application.</w:t>
      </w:r>
    </w:p>
    <w:p>
      <w:pPr>
        <w:spacing w:before="200" w:after="80" w:line="336" w:lineRule="auto"/>
      </w:pPr>
      <w:r>
        <w:rPr>
          <w:rFonts w:ascii="Calibri" w:hAnsi="Calibri"/>
          <w:b w:val="0"/>
          <w:i w:val="0"/>
          <w:color w:val="111111"/>
          <w:sz w:val="23"/>
        </w:rPr>
        <w:t>Sincerely,</w:t>
      </w:r>
    </w:p>
    <w:p>
      <w:pPr>
        <w:spacing w:before="0" w:after="40" w:line="312" w:lineRule="auto"/>
      </w:pPr>
      <w:r>
        <w:rPr>
          <w:rFonts w:ascii="Calibri" w:hAnsi="Calibri"/>
          <w:b/>
          <w:i w:val="0"/>
          <w:color w:val="111111"/>
          <w:sz w:val="23"/>
        </w:rPr>
        <w:t>Riket B. Patel</w:t>
      </w:r>
    </w:p>
    <w:p>
      <w:pPr>
        <w:spacing w:before="0" w:after="0" w:line="312" w:lineRule="auto"/>
      </w:pPr>
      <w:r>
        <w:rPr>
          <w:rFonts w:ascii="Calibri" w:hAnsi="Calibri"/>
          <w:b w:val="0"/>
          <w:i w:val="0"/>
          <w:color w:val="555555"/>
          <w:sz w:val="21"/>
        </w:rPr>
        <w:t>M.P.S. Data Analytics, Pennsylvania State University · Certified Agile Leader (CAL-1), Scrum Alliance</w:t>
      </w:r>
    </w:p>
    <w:p>
      <w:pPr>
        <w:spacing w:before="0" w:after="0" w:line="312" w:lineRule="auto"/>
      </w:pPr>
      <w:r>
        <w:rPr>
          <w:rFonts w:ascii="Calibri" w:hAnsi="Calibri"/>
          <w:b w:val="0"/>
          <w:i w:val="0"/>
          <w:color w:val="555555"/>
          <w:sz w:val="21"/>
        </w:rPr>
        <w:t>Certified AI Product Manager · Certified Mental Health First Aider · NJ Real Estate Salesperson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