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Calibri" w:hAnsi="Calibri"/>
          <w:b/>
          <w:i w:val="0"/>
          <w:color w:val="111111"/>
          <w:sz w:val="44"/>
          <w:spacing w:val="40"/>
        </w:rPr>
        <w:t>RIKET B. PATEL</w:t>
      </w:r>
    </w:p>
    <w:p>
      <w:pPr>
        <w:spacing w:before="0" w:after="40" w:line="288" w:lineRule="auto"/>
      </w:pPr>
      <w:r>
        <w:rPr>
          <w:rFonts w:ascii="Calibri" w:hAnsi="Calibri"/>
          <w:b w:val="0"/>
          <w:i w:val="0"/>
          <w:color w:val="555555"/>
          <w:sz w:val="19"/>
        </w:rPr>
        <w:t>56 Benford Ln, Edgewater Park, NJ 08010 · (267) 408-6295 · Riketpatel@gmail.com · linkedin.com/in/riketpatel · U.S. Citizen · Trilingual: English, Hindi, Gujarati</w:t>
      </w:r>
    </w:p>
    <w:p>
      <w:pPr>
        <w:spacing w:before="80" w:after="80" w:line="288" w:lineRule="auto"/>
        <w:jc w:val="center"/>
        <w:pBdr>
          <w:top w:val="single" w:sz="12" w:space="1" w:color="1A1A1A"/>
          <w:bottom w:val="single" w:sz="12" w:space="1" w:color="1A1A1A"/>
        </w:pBdr>
      </w:pPr>
      <w:r>
        <w:rPr>
          <w:rFonts w:ascii="Calibri" w:hAnsi="Calibri"/>
          <w:b/>
          <w:i w:val="0"/>
          <w:color w:val="1A3A2A"/>
          <w:sz w:val="22"/>
          <w:spacing w:val="16"/>
        </w:rPr>
        <w:t>BUSINESS ANALYST  ·  REGULATED SYSTEMS  ·  PUBLIC SERVICE-MINDED</w:t>
      </w:r>
    </w:p>
    <w:p>
      <w:pPr>
        <w:spacing w:before="8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>Started my career as a Business / Technical Analyst at Merck, was promoted through three levels (Specialist → Squad Lead → Product Manager), and spent seven years translating complex business requirements into delivered software in a heavily regulated environment. Removed ~</w:t>
      </w:r>
      <w:r>
        <w:rPr>
          <w:rFonts w:ascii="Calibri" w:hAnsi="Calibri"/>
          <w:b/>
          <w:i w:val="0"/>
          <w:color w:val="111111"/>
          <w:sz w:val="21"/>
        </w:rPr>
        <w:t>10,000 hours</w:t>
      </w:r>
      <w:r>
        <w:rPr>
          <w:rFonts w:ascii="Calibri" w:hAnsi="Calibri"/>
          <w:b w:val="0"/>
          <w:i w:val="0"/>
          <w:color w:val="111111"/>
          <w:sz w:val="21"/>
        </w:rPr>
        <w:t xml:space="preserve"> of annual manual work for stakeholder teams across six countries and led a regulated submission program that cut processing time from </w:t>
      </w:r>
      <w:r>
        <w:rPr>
          <w:rFonts w:ascii="Calibri" w:hAnsi="Calibri"/>
          <w:b/>
          <w:i w:val="0"/>
          <w:color w:val="111111"/>
          <w:sz w:val="21"/>
        </w:rPr>
        <w:t>six months to about one week</w:t>
      </w:r>
      <w:r>
        <w:rPr>
          <w:rFonts w:ascii="Calibri" w:hAnsi="Calibri"/>
          <w:b w:val="0"/>
          <w:i w:val="0"/>
          <w:color w:val="111111"/>
          <w:sz w:val="21"/>
        </w:rPr>
        <w:t>. M.S. Data Analytics, Penn State. New Jersey resident, U.S. citizen, NJ Real Estate Salesperson — already engaged with state systems. Drawn to this role for what the Judiciary actually does: keep records honest, court processes accessible, and the public served by systems they trust.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SELECTED WINS (BA TRANSLATABLE)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Multi-system requirements coordination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led the Scale IT for Clinical Portfolio program across 4 interconnected data systems (Delta Fusion, CDI, CDDR, SLS). Worked with 15+ stakeholder groups (legal-equivalent: Biostatistics, Medical Writing, Compliance, Data Stewardship) to translate business needs into delivered software. Eliminated ~10,000 hours of annual manual effort across the user base.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Multi-jurisdiction submission platform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designed the A&amp;R Submission Translation platform that cut regulated filing cycle time from </w:t>
      </w:r>
      <w:r>
        <w:rPr>
          <w:rFonts w:ascii="Calibri" w:hAnsi="Calibri"/>
          <w:b/>
          <w:i w:val="0"/>
          <w:color w:val="111111"/>
          <w:sz w:val="21"/>
        </w:rPr>
        <w:t>6 months to ~1 week</w:t>
      </w:r>
      <w:r>
        <w:rPr>
          <w:rFonts w:ascii="Calibri" w:hAnsi="Calibri"/>
          <w:b w:val="0"/>
          <w:i w:val="0"/>
          <w:color w:val="111111"/>
          <w:sz w:val="21"/>
        </w:rPr>
        <w:t>. User research with stakeholders in 5 countries; iterative MVP (R1.0 → R1.1). Pattern directly translates to court-record translation, eFiling localization, and accessibility-mandated multi-language workflows.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Audit-readiness SME</w:t>
      </w:r>
      <w:r>
        <w:rPr>
          <w:rFonts w:ascii="Calibri" w:hAnsi="Calibri"/>
          <w:b w:val="0"/>
          <w:i w:val="0"/>
          <w:color w:val="111111"/>
          <w:sz w:val="21"/>
        </w:rPr>
        <w:t xml:space="preserve"> across 3 inspection-sensitive systems — documented audit trails, user-access controls, and data-integrity workflows. Same documentation discipline a court-system records integrity program requires.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BA progression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promoted from entry-level Business / Technical Analyst (2018) to Specialist (2019), to Lead BA (2020-2021), to Squad Lead (2022), to Product Manager (2023). Year objectives consistently shipped on schedule with zero audit findings. 20+ peer recognitions; reverse-mentor feedback (Robert Wiley, Director, Merck):</w:t>
      </w:r>
      <w:r>
        <w:rPr>
          <w:rFonts w:ascii="Calibri" w:hAnsi="Calibri"/>
          <w:b w:val="0"/>
          <w:i/>
          <w:color w:val="2A2A2A"/>
          <w:sz w:val="21"/>
        </w:rPr>
        <w:t xml:space="preserve"> "You were exceptional in how you worked with me in every area we explored. I do not have any further development feedback."</w:t>
      </w:r>
    </w:p>
    <w:p>
      <w:pPr>
        <w:spacing w:before="20" w:after="20" w:line="300" w:lineRule="auto"/>
        <w:ind w:left="259" w:hanging="259"/>
      </w:pPr>
      <w:r>
        <w:rPr>
          <w:rFonts w:ascii="Calibri" w:hAnsi="Calibri"/>
          <w:b/>
          <w:i w:val="0"/>
          <w:color w:val="B8860B"/>
          <w:sz w:val="21"/>
        </w:rPr>
        <w:t xml:space="preserve">▸  </w:t>
      </w:r>
      <w:r>
        <w:rPr>
          <w:rFonts w:ascii="Calibri" w:hAnsi="Calibri"/>
          <w:b/>
          <w:i w:val="0"/>
          <w:color w:val="111111"/>
          <w:sz w:val="21"/>
        </w:rPr>
        <w:t>Trilingual + community-rooted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English, Hindi, Gujarati. Active member of Interfaith Organization, Next Gen Network, and capABILITY Network (disability inclusion) ERGs at Merck. Mentored Cornell Tech master's intern Jenny Mao through her 2025 summer cohort.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EXPERIENCE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Business / Technical Analyst → Product Manager · Merck &amp; Co., Inc., Upper Gwynedd,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Aug 2018 – Nov 2025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Joined as an entry-level Business / Technical Analyst supporting BARDS clinical-data systems. Promoted through Specialist (2019), Lead BA (2020-2021), Squad Lead (2022), and Product Manager (2023). Owned requirements gathering, user research, documentation, sprint-cycle delivery, and audit-readiness across 5 interconnected systems. Subject-matter expert for </w:t>
      </w:r>
      <w:r>
        <w:rPr>
          <w:rFonts w:ascii="Calibri" w:hAnsi="Calibri"/>
          <w:b/>
          <w:i w:val="0"/>
          <w:color w:val="111111"/>
          <w:sz w:val="21"/>
        </w:rPr>
        <w:t>regulatory audit-readiness</w:t>
      </w:r>
      <w:r>
        <w:rPr>
          <w:rFonts w:ascii="Calibri" w:hAnsi="Calibri"/>
          <w:b w:val="0"/>
          <w:i w:val="0"/>
          <w:color w:val="111111"/>
          <w:sz w:val="21"/>
        </w:rPr>
        <w:t xml:space="preserve"> (audit trails, user access, data integrity) — the most directly transferable skill to court-records integrity work. </w:t>
      </w:r>
      <w:r>
        <w:rPr>
          <w:rFonts w:ascii="Calibri" w:hAnsi="Calibri"/>
          <w:b/>
          <w:i w:val="0"/>
          <w:color w:val="111111"/>
          <w:sz w:val="21"/>
        </w:rPr>
        <w:t>TCO Data Steward</w:t>
      </w:r>
      <w:r>
        <w:rPr>
          <w:rFonts w:ascii="Calibri" w:hAnsi="Calibri"/>
          <w:b w:val="0"/>
          <w:i w:val="0"/>
          <w:color w:val="111111"/>
          <w:sz w:val="21"/>
        </w:rPr>
        <w:t xml:space="preserve"> using Apptio + Ariba; Change Champion for O365 / Microsoft Teams enterprise adoption.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Solution Specialist II → EHR Application Specialist · NextGen Healthcare, Horsham, PA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May 2014 – Apr 2017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 xml:space="preserve">Mirth Connect &amp; EHR client implementations. Triaged technical issues across HL7 / FHIR integrations using </w:t>
      </w:r>
      <w:r>
        <w:rPr>
          <w:rFonts w:ascii="Calibri" w:hAnsi="Calibri"/>
          <w:b/>
          <w:i w:val="0"/>
          <w:color w:val="111111"/>
          <w:sz w:val="21"/>
        </w:rPr>
        <w:t>SQL Server Management Studio, SQL Profiler, and SQL Tracing</w:t>
      </w:r>
      <w:r>
        <w:rPr>
          <w:rFonts w:ascii="Calibri" w:hAnsi="Calibri"/>
          <w:b w:val="0"/>
          <w:i w:val="0"/>
          <w:color w:val="111111"/>
          <w:sz w:val="21"/>
        </w:rPr>
        <w:t xml:space="preserve">. Authored SOPs aligned to Public Health policy. Built domain expertise in </w:t>
      </w:r>
      <w:r>
        <w:rPr>
          <w:rFonts w:ascii="Calibri" w:hAnsi="Calibri"/>
          <w:b/>
          <w:i w:val="0"/>
          <w:color w:val="111111"/>
          <w:sz w:val="21"/>
        </w:rPr>
        <w:t>HIPAA, ICD-10, Health Information Exchange, and clinical documentation</w:t>
      </w:r>
      <w:r>
        <w:rPr>
          <w:rFonts w:ascii="Calibri" w:hAnsi="Calibri"/>
          <w:b w:val="0"/>
          <w:i w:val="0"/>
          <w:color w:val="111111"/>
          <w:sz w:val="21"/>
        </w:rPr>
        <w:t xml:space="preserve"> — same data-privacy and records-integrity disciplines a court system relies on.</w:t>
      </w:r>
    </w:p>
    <w:p>
      <w:pPr>
        <w:tabs>
          <w:tab w:pos="10656" w:val="right"/>
        </w:tabs>
        <w:spacing w:before="80" w:after="0" w:line="288" w:lineRule="auto"/>
      </w:pPr>
      <w:r>
        <w:rPr>
          <w:rFonts w:ascii="Calibri" w:hAnsi="Calibri"/>
          <w:b/>
          <w:i w:val="0"/>
          <w:color w:val="111111"/>
          <w:sz w:val="21"/>
        </w:rPr>
        <w:t>Founder · Legacy Bridge Alliance Group (concurrent, evenings/weekends)</w:t>
      </w:r>
      <w:r>
        <w:tab/>
      </w:r>
      <w:r>
        <w:rPr>
          <w:rFonts w:ascii="Calibri" w:hAnsi="Calibri"/>
          <w:b w:val="0"/>
          <w:i/>
          <w:color w:val="555555"/>
          <w:sz w:val="19"/>
        </w:rPr>
        <w:t>2025 – present</w:t>
      </w:r>
    </w:p>
    <w:p>
      <w:pPr>
        <w:spacing w:before="20" w:after="40" w:line="300" w:lineRule="auto"/>
      </w:pPr>
      <w:r>
        <w:rPr>
          <w:rFonts w:ascii="Calibri" w:hAnsi="Calibri"/>
          <w:b w:val="0"/>
          <w:i w:val="0"/>
          <w:color w:val="111111"/>
          <w:sz w:val="21"/>
        </w:rPr>
        <w:t>Operate a small holding company alongside this job search: a New Jersey real-estate practice (HomeSmart affiliate — engaged with NJ state-licensed transactions weekly), a small-business brokerage practice, two consumer e-commerce stores, and four free public-good content sites. Available for full-time work and committed to staying local in South Jersey / Greater Philadelphia for the foreseeable future.</w:t>
      </w:r>
    </w:p>
    <w:p>
      <w:pPr>
        <w:spacing w:before="160" w:after="40" w:line="276" w:lineRule="auto"/>
        <w:pBdr>
          <w:bottom w:val="single" w:sz="8" w:space="1" w:color="1A1A1A"/>
        </w:pBdr>
      </w:pPr>
      <w:r>
        <w:rPr>
          <w:rFonts w:ascii="Calibri" w:hAnsi="Calibri"/>
          <w:b/>
          <w:i w:val="0"/>
          <w:color w:val="111111"/>
          <w:sz w:val="20"/>
          <w:spacing w:val="28"/>
        </w:rPr>
        <w:t>EDUCATION &amp; CERTIFICATIONS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56"/>
        <w:gridCol w:w="5256"/>
      </w:tblGrid>
      <w:tr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Pennsylvania State University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M.P.S. Data Analytics — May 2018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Graduate Certificate, Business Analytics — Aug 2017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B.S. Business Administration (Mgmt. &amp; Marketing) — May 2014</w:t>
            </w:r>
          </w:p>
        </w:tc>
        <w:tc>
          <w:tcPr>
            <w:tcW w:type="dxa" w:w="5256"/>
          </w:tcPr>
          <w:p>
            <w:pPr>
              <w:spacing w:before="0" w:after="20" w:line="300" w:lineRule="auto"/>
            </w:pPr>
            <w:r/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AI Product Management — Dec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Certified Agile Leader (CAL-1), Scrum Alliance — Jun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/>
                <w:i w:val="0"/>
                <w:color w:val="111111"/>
                <w:sz w:val="21"/>
              </w:rPr>
              <w:t>Mental Health First Aider — May 2024</w:t>
            </w:r>
          </w:p>
          <w:p>
            <w:pPr>
              <w:spacing w:before="0" w:after="20" w:line="300" w:lineRule="auto"/>
            </w:pPr>
            <w:r>
              <w:rPr>
                <w:rFonts w:ascii="Calibri" w:hAnsi="Calibri"/>
                <w:b w:val="0"/>
                <w:i w:val="0"/>
                <w:color w:val="111111"/>
                <w:sz w:val="21"/>
              </w:rPr>
              <w:t>AWS Cloud Practitioner Path · NJ Real Estate Salesperson</w:t>
            </w:r>
          </w:p>
        </w:tc>
      </w:tr>
    </w:tbl>
    <w:p>
      <w:pPr>
        <w:spacing w:before="120" w:after="0" w:line="288" w:lineRule="auto"/>
        <w:jc w:val="right"/>
      </w:pPr>
      <w:r>
        <w:rPr>
          <w:rFonts w:ascii="Calibri" w:hAnsi="Calibri"/>
          <w:b w:val="0"/>
          <w:i/>
          <w:color w:val="555555"/>
          <w:sz w:val="18"/>
        </w:rPr>
        <w:t>References available on request. U.S. Citizen. Available to start within 2 weeks. Longer narrative at riketpatel.com.</w:t>
      </w:r>
    </w:p>
    <w:sectPr w:rsidR="00FC693F" w:rsidRPr="0006063C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