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after="280"/>
      </w:pPr>
      <w:r>
        <w:rPr>
          <w:rFonts w:ascii="Arial" w:hAnsi="Arial" w:eastAsia="Arial"/>
          <w:b w:val="0"/>
          <w:color w:val="000000"/>
          <w:sz w:val="24"/>
        </w:rPr>
        <w:t>TANOVO TIME</w:t>
      </w:r>
    </w:p>
    <w:p>
      <w:pPr>
        <w:pStyle w:val="Title"/>
        <w:keepNext/>
      </w:pPr>
      <w:r>
        <w:rPr>
          <w:rFonts w:ascii="Arial" w:hAnsi="Arial" w:eastAsia="Arial"/>
          <w:b w:val="0"/>
          <w:color w:val="000000"/>
          <w:sz w:val="56"/>
        </w:rPr>
        <w:t>Block Level Implementation Guide</w:t>
      </w:r>
    </w:p>
    <w:p>
      <w:pPr>
        <w:spacing w:after="360"/>
      </w:pPr>
      <w:r>
        <w:rPr>
          <w:rFonts w:ascii="Arial" w:hAnsi="Arial" w:eastAsia="Arial"/>
          <w:b w:val="0"/>
          <w:color w:val="000000"/>
          <w:sz w:val="30"/>
        </w:rPr>
        <w:t>Application behavior, data flows, security boundaries, and operational state</w:t>
      </w:r>
    </w:p>
    <w:p>
      <w:pPr>
        <w:spacing w:after="560"/>
      </w:pPr>
      <w:r>
        <w:rPr>
          <w:rFonts w:ascii="Arial" w:hAnsi="Arial" w:eastAsia="Arial"/>
          <w:b w:val="0"/>
          <w:color w:val="111111"/>
          <w:sz w:val="24"/>
        </w:rPr>
        <w:t>A source-grounded technical reference for engineering, operations, and product review. It follows a user action from the page through authorization and persistence, then distinguishes the current application from planned SaaS capabilities.</w:t>
      </w:r>
    </w:p>
    <w:tbl>
      <w:tblPr>
        <w:tblW w:type="auto" w:w="0"/>
        <w:jc w:val="center"/>
        <w:tblLayout w:type="fixed"/>
        <w:tblLook w:firstColumn="1" w:firstRow="1" w:lastColumn="0" w:lastRow="0" w:noHBand="0" w:noVBand="1" w:val="04A0"/>
        <w:tblBorders>
          <w:top w:val="single" w:sz="6" w:space="0" w:color="D6DCE5"/>
          <w:left w:val="single" w:sz="6" w:space="0" w:color="D6DCE5"/>
          <w:bottom w:val="single" w:sz="6" w:space="0" w:color="D6DCE5"/>
          <w:right w:val="single" w:sz="6" w:space="0" w:color="D6DCE5"/>
          <w:insideH w:val="single" w:sz="6" w:space="0" w:color="D6DCE5"/>
          <w:insideV w:val="single" w:sz="6" w:space="0" w:color="D6DCE5"/>
        </w:tblBorders>
      </w:tblPr>
      <w:tblGrid>
        <w:gridCol w:w="2033"/>
        <w:gridCol w:w="2033"/>
        <w:gridCol w:w="2033"/>
        <w:gridCol w:w="2033"/>
        <w:gridCol w:w="2033"/>
      </w:tblGrid>
      <w:tr>
        <w:tc>
          <w:tcPr>
            <w:tcW w:type="dxa" w:w="1930"/>
            <w:vAlign w:val="center"/>
            <w:shd w:fill="DCEEFF"/>
            <w:tcMar>
              <w:top w:w="170" w:type="dxa"/>
              <w:start w:w="90" w:type="dxa"/>
              <w:bottom w:w="170" w:type="dxa"/>
              <w:end w:w="90" w:type="dxa"/>
            </w:tcMar>
          </w:tcPr>
          <w:p>
            <w:pPr>
              <w:jc w:val="center"/>
            </w:pPr>
            <w:r>
              <w:rPr>
                <w:rFonts w:ascii="Arial" w:hAnsi="Arial" w:eastAsia="Arial"/>
                <w:b w:val="0"/>
                <w:color w:val="111111"/>
                <w:sz w:val="16"/>
              </w:rPr>
              <w:t>USER WORKSPACE</w:t>
            </w:r>
          </w:p>
        </w:tc>
        <w:tc>
          <w:tcPr>
            <w:tcW w:type="dxa" w:w="1930"/>
            <w:vAlign w:val="center"/>
            <w:shd w:fill="DDF5E8"/>
            <w:tcMar>
              <w:top w:w="170" w:type="dxa"/>
              <w:start w:w="90" w:type="dxa"/>
              <w:bottom w:w="170" w:type="dxa"/>
              <w:end w:w="90" w:type="dxa"/>
            </w:tcMar>
          </w:tcPr>
          <w:p>
            <w:pPr>
              <w:jc w:val="center"/>
            </w:pPr>
            <w:r>
              <w:rPr>
                <w:rFonts w:ascii="Arial" w:hAnsi="Arial" w:eastAsia="Arial"/>
                <w:b w:val="0"/>
                <w:color w:val="111111"/>
                <w:sz w:val="16"/>
              </w:rPr>
              <w:t>SERVER POLICY</w:t>
            </w:r>
          </w:p>
        </w:tc>
        <w:tc>
          <w:tcPr>
            <w:tcW w:type="dxa" w:w="1930"/>
            <w:vAlign w:val="center"/>
            <w:shd w:fill="FFF0D9"/>
            <w:tcMar>
              <w:top w:w="170" w:type="dxa"/>
              <w:start w:w="90" w:type="dxa"/>
              <w:bottom w:w="170" w:type="dxa"/>
              <w:end w:w="90" w:type="dxa"/>
            </w:tcMar>
          </w:tcPr>
          <w:p>
            <w:pPr>
              <w:jc w:val="center"/>
            </w:pPr>
            <w:r>
              <w:rPr>
                <w:rFonts w:ascii="Arial" w:hAnsi="Arial" w:eastAsia="Arial"/>
                <w:b w:val="0"/>
                <w:color w:val="111111"/>
                <w:sz w:val="16"/>
              </w:rPr>
              <w:t>DOMAIN RULES</w:t>
            </w:r>
          </w:p>
        </w:tc>
        <w:tc>
          <w:tcPr>
            <w:tcW w:type="dxa" w:w="1930"/>
            <w:vAlign w:val="center"/>
            <w:shd w:fill="FCE2E2"/>
            <w:tcMar>
              <w:top w:w="170" w:type="dxa"/>
              <w:start w:w="90" w:type="dxa"/>
              <w:bottom w:w="170" w:type="dxa"/>
              <w:end w:w="90" w:type="dxa"/>
            </w:tcMar>
          </w:tcPr>
          <w:p>
            <w:pPr>
              <w:jc w:val="center"/>
            </w:pPr>
            <w:r>
              <w:rPr>
                <w:rFonts w:ascii="Arial" w:hAnsi="Arial" w:eastAsia="Arial"/>
                <w:b w:val="0"/>
                <w:color w:val="111111"/>
                <w:sz w:val="16"/>
              </w:rPr>
              <w:t>POSTGRES DATA</w:t>
            </w:r>
          </w:p>
        </w:tc>
        <w:tc>
          <w:tcPr>
            <w:tcW w:type="dxa" w:w="1930"/>
            <w:vAlign w:val="center"/>
            <w:shd w:fill="E8E7FA"/>
            <w:tcMar>
              <w:top w:w="170" w:type="dxa"/>
              <w:start w:w="90" w:type="dxa"/>
              <w:bottom w:w="170" w:type="dxa"/>
              <w:end w:w="90" w:type="dxa"/>
            </w:tcMar>
          </w:tcPr>
          <w:p>
            <w:pPr>
              <w:jc w:val="center"/>
            </w:pPr>
            <w:r>
              <w:rPr>
                <w:rFonts w:ascii="Arial" w:hAnsi="Arial" w:eastAsia="Arial"/>
                <w:b w:val="0"/>
                <w:color w:val="111111"/>
                <w:sz w:val="16"/>
              </w:rPr>
              <w:t>AUDIT / RESPONSE</w:t>
            </w:r>
          </w:p>
        </w:tc>
      </w:tr>
    </w:tbl>
    <w:p>
      <w:pPr>
        <w:spacing w:before="440"/>
      </w:pPr>
      <w:r>
        <w:rPr>
          <w:rFonts w:ascii="Arial" w:hAnsi="Arial" w:eastAsia="Arial"/>
          <w:b w:val="0"/>
          <w:color w:val="111111"/>
          <w:sz w:val="21"/>
        </w:rPr>
        <w:t>Release baseline: Development branch, commit f056019. Verification: TypeScript, 551 tests across 112 files, and a successful production build. Snapshot date: 18 October 2026.</w:t>
      </w:r>
    </w:p>
    <w:p>
      <w:pPr>
        <w:spacing w:before="2500"/>
      </w:pPr>
      <w:r>
        <w:rPr>
          <w:rFonts w:ascii="Arial" w:hAnsi="Arial" w:eastAsia="Arial"/>
          <w:b w:val="0"/>
          <w:color w:val="111111"/>
          <w:sz w:val="22"/>
        </w:rPr>
        <w:t>Scope note</w:t>
      </w:r>
    </w:p>
    <w:p>
      <w:r>
        <w:rPr>
          <w:rFonts w:ascii="Arial" w:hAnsi="Arial" w:eastAsia="Arial"/>
          <w:b w:val="0"/>
          <w:color w:val="111111"/>
          <w:sz w:val="21"/>
        </w:rPr>
        <w:t>This guide describes the repository and its documented deployment model. It does not claim that preview configuration, external providers, production deployments, multi-company onboarding, or patron PDF/CSV export have been verified or completed.</w:t>
      </w:r>
    </w:p>
    <w:p>
      <w:r>
        <w:br w:type="page"/>
      </w:r>
    </w:p>
    <w:p>
      <w:pPr>
        <w:pStyle w:val="Heading1"/>
        <w:keepNext/>
      </w:pPr>
      <w:r>
        <w:rPr>
          <w:rFonts w:ascii="Arial" w:hAnsi="Arial" w:eastAsia="Arial"/>
          <w:b w:val="0"/>
          <w:color w:val="111111"/>
          <w:sz w:val="37"/>
        </w:rPr>
        <w:t>01  System shape and request path</w:t>
      </w:r>
    </w:p>
    <w:p>
      <w:pPr>
        <w:keepNext/>
        <w:spacing w:after="180"/>
      </w:pPr>
      <w:r>
        <w:rPr>
          <w:rFonts w:ascii="Arial" w:hAnsi="Arial" w:eastAsia="Arial"/>
          <w:b w:val="0"/>
          <w:color w:val="000000"/>
          <w:sz w:val="21"/>
        </w:rPr>
        <w:t>How browser interaction becomes an authorized, persisted business operation.</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Browser page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same-origin API route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session and live rights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domain validation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Browser page → same-origin API route → session and live rights → domain validation → Neon transaction → audit and response → refreshed workspace</w:t>
      </w:r>
    </w:p>
    <w:p>
      <w:pPr>
        <w:widowControl/>
      </w:pPr>
      <w:r>
        <w:rPr>
          <w:rFonts w:ascii="Arial" w:hAnsi="Arial" w:eastAsia="Arial"/>
          <w:b w:val="0"/>
          <w:color w:val="111111"/>
          <w:sz w:val="22"/>
        </w:rPr>
        <w:t>Tanovo Time is a Next.js application served below the /tanovo-time base path. The browser renders role-aware workspaces, but the server owns identity, permission resolution, validation, and persistence. A visible button is only a convenience: every API route independently derives the signed-in actor and checks current rights before touching data. This division is the central architecture rule behind entry edits, reviews, project assignments, messaging, and reports.</w:t>
      </w:r>
    </w:p>
    <w:p>
      <w:pPr>
        <w:widowControl/>
      </w:pPr>
      <w:r>
        <w:rPr>
          <w:rFonts w:ascii="Arial" w:hAnsi="Arial" w:eastAsia="Arial"/>
          <w:b w:val="0"/>
          <w:color w:val="111111"/>
          <w:sz w:val="22"/>
        </w:rPr>
        <w:t>A typical operation begins in a client component, which calls a same-origin route through the shared path helper. The route parses a bounded request, authenticates the session, loads effective access, validates business invariants, and calls a domain helper. Database helpers use parameterized Neon SQL. The route returns a narrow response; the client refreshes or updates its view. High-value mutations append an audit event as part of, or immediately adjacent to, the data transaction.</w:t>
      </w:r>
    </w:p>
    <w:p>
      <w:pPr>
        <w:widowControl/>
      </w:pPr>
      <w:r>
        <w:rPr>
          <w:rFonts w:ascii="Arial" w:hAnsi="Arial" w:eastAsia="Arial"/>
          <w:b w:val="0"/>
          <w:color w:val="111111"/>
          <w:sz w:val="22"/>
        </w:rPr>
        <w:t>The app has no separate microservice layer today. app/api contains route handlers; lib contains policy, persistence, crypto, and integration helpers; components compose page workflows. next.config.mjs defines the base path, safe response headers, redirect normalization, and build behavior. This keeps deployment simple, but it makes route-level discipline and module boundaries important: a route should not accept a client-supplied actor, role, or tenant as authority.</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Single-company deployment; route handlers and Neon-backed domain helpers are the current backend. The server must remain the authority even when UI state is stale.</w:t>
      </w:r>
    </w:p>
    <w:p>
      <w:r>
        <w:br w:type="page"/>
      </w:r>
    </w:p>
    <w:p>
      <w:pPr>
        <w:pStyle w:val="Heading1"/>
        <w:keepNext/>
      </w:pPr>
      <w:r>
        <w:rPr>
          <w:rFonts w:ascii="Arial" w:hAnsi="Arial" w:eastAsia="Arial"/>
          <w:b w:val="0"/>
          <w:color w:val="111111"/>
          <w:sz w:val="37"/>
        </w:rPr>
        <w:t>02  Application map and navigation</w:t>
      </w:r>
    </w:p>
    <w:p>
      <w:pPr>
        <w:keepNext/>
        <w:spacing w:after="180"/>
      </w:pPr>
      <w:r>
        <w:rPr>
          <w:rFonts w:ascii="Arial" w:hAnsi="Arial" w:eastAsia="Arial"/>
          <w:b w:val="0"/>
          <w:color w:val="000000"/>
          <w:sz w:val="21"/>
        </w:rPr>
        <w:t>Pages are workspaces over shared domain services, not separate applications.</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Signed-in shell</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role and rights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workspace selection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scoped page data</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route-level authorization</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Signed-in shell → role and rights → workspace selection → scoped page data → route-level authorization</w:t>
      </w:r>
    </w:p>
    <w:p>
      <w:pPr>
        <w:widowControl/>
      </w:pPr>
      <w:r>
        <w:rPr>
          <w:rFonts w:ascii="Arial" w:hAnsi="Arial" w:eastAsia="Arial"/>
          <w:b w:val="0"/>
          <w:color w:val="111111"/>
          <w:sz w:val="22"/>
        </w:rPr>
        <w:t>The main client shell in components/timesheet-app.tsx coordinates navigation, selected period, refresh counters, shared inbox state, dialog state, window-level assistants, and role-aware controls. Workspace identifiers are translated into the relevant view, including home, period archive, personal timesheets, approvals, reports, activity, admin controls, account review, periods, and messages. Route state is preserved for in-app movement; role-specific pages are still backed by the same API contracts.</w:t>
      </w:r>
    </w:p>
    <w:p>
      <w:pPr>
        <w:widowControl/>
      </w:pPr>
      <w:r>
        <w:rPr>
          <w:rFonts w:ascii="Arial" w:hAnsi="Arial" w:eastAsia="Arial"/>
          <w:b w:val="0"/>
          <w:color w:val="111111"/>
          <w:sz w:val="22"/>
        </w:rPr>
        <w:t>Navigation and feature availability use effective permissions to avoid presenting irrelevant controls. The same decision must be repeated on the server. For instance, hiding the review queue from a contractor improves usability, but only the review API can prevent unauthorized approval. Assistant navigation uses an allowlisted destination vocabulary and asks the shell to open the destination; it does not manipulate arbitrary DOM selectors or click arbitrary buttons.</w:t>
      </w:r>
    </w:p>
    <w:p>
      <w:pPr>
        <w:widowControl/>
      </w:pPr>
      <w:r>
        <w:rPr>
          <w:rFonts w:ascii="Arial" w:hAnsi="Arial" w:eastAsia="Arial"/>
          <w:b w:val="0"/>
          <w:color w:val="111111"/>
          <w:sz w:val="22"/>
        </w:rPr>
        <w:t>The product uses one integrated application across five roles. A manager can have a personal timesheet lane and an operational team lane. An account manager has a business-account lane and may receive a separately granted manager-timesheet review lane. Admin tools are distinct from ordinary workflow controls. This means page labels alone are insufficient for describing access; the exact record scope and capability checks are what define the page’s behavior.</w:t>
      </w:r>
    </w:p>
    <w:p>
      <w:pPr>
        <w:widowControl/>
      </w:pPr>
      <w:r>
        <w:rPr>
          <w:rFonts w:ascii="Arial" w:hAnsi="Arial" w:eastAsia="Arial"/>
          <w:b w:val="0"/>
          <w:color w:val="111111"/>
          <w:sz w:val="22"/>
        </w:rPr>
        <w:t>At present, public URLs use a single application prefix. lib/paths.ts centralizes path creation and the Next.js base path is /tanovo-time. Local or custom callback URLs must include the deployment’s corresponding auth callback path. Avoid hardcoding root-relative API URLs in new features.</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Workspaces are client-side views under one application. Persisted deep links and multi-company URL routing should only be added with an explicit routing and tenant-resolution design.</w:t>
      </w:r>
    </w:p>
    <w:p>
      <w:r>
        <w:br w:type="page"/>
      </w:r>
    </w:p>
    <w:p>
      <w:pPr>
        <w:pStyle w:val="Heading1"/>
        <w:keepNext/>
      </w:pPr>
      <w:r>
        <w:rPr>
          <w:rFonts w:ascii="Arial" w:hAnsi="Arial" w:eastAsia="Arial"/>
          <w:b w:val="0"/>
          <w:color w:val="111111"/>
          <w:sz w:val="37"/>
        </w:rPr>
        <w:t>03  Identity and Entra authentication</w:t>
      </w:r>
    </w:p>
    <w:p>
      <w:pPr>
        <w:keepNext/>
        <w:spacing w:after="180"/>
      </w:pPr>
      <w:r>
        <w:rPr>
          <w:rFonts w:ascii="Arial" w:hAnsi="Arial" w:eastAsia="Arial"/>
          <w:b w:val="0"/>
          <w:color w:val="000000"/>
          <w:sz w:val="21"/>
        </w:rPr>
        <w:t>Microsoft identity establishes who signed in; it does not decide company membership or workflow rights.</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Entra sign-in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Auth.js verified identity</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app session row</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normalized email</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effective role and rights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Entra sign-in → Auth.js verified identity → app session row → normalized email → effective role and rights</w:t>
      </w:r>
    </w:p>
    <w:p>
      <w:pPr>
        <w:widowControl/>
      </w:pPr>
      <w:r>
        <w:rPr>
          <w:rFonts w:ascii="Arial" w:hAnsi="Arial" w:eastAsia="Arial"/>
          <w:b w:val="0"/>
          <w:color w:val="111111"/>
          <w:sz w:val="22"/>
        </w:rPr>
        <w:t>auth.ts configures Auth.js with the Microsoft Entra ID provider and JWT-backed sessions. The auth base path is composed with the application prefix, so the callback endpoint follows the deployed prefix rather than the site root. Entra client ID, secret, and issuer are server configuration. Provider credentials and token claims are not copied into application logs. The logger records a fixed failure message plus a bounded error type, and authentication events are audited without persisting tokens.</w:t>
      </w:r>
    </w:p>
    <w:p>
      <w:pPr>
        <w:widowControl/>
      </w:pPr>
      <w:r>
        <w:rPr>
          <w:rFonts w:ascii="Arial" w:hAnsi="Arial" w:eastAsia="Arial"/>
          <w:b w:val="0"/>
          <w:color w:val="111111"/>
          <w:sz w:val="22"/>
        </w:rPr>
        <w:t>On provider sign-in, the JWT callback creates an opaque application-session row bound to a normalized email. Subsequent JWT callbacks require that row to remain live. lib/app-sessions.ts enforces idle and absolute expiry and supports server-side revocation. Ordinary session reads do not extend idle time; the explicit activity route performs an interactive touch. Sign-out records an event and revokes the session row. This gives the app a revocation mechanism beyond merely waiting for a browser cookie to expire.</w:t>
      </w:r>
    </w:p>
    <w:p>
      <w:pPr>
        <w:widowControl/>
      </w:pPr>
      <w:r>
        <w:rPr>
          <w:rFonts w:ascii="Arial" w:hAnsi="Arial" w:eastAsia="Arial"/>
          <w:b w:val="0"/>
          <w:color w:val="111111"/>
          <w:sz w:val="22"/>
        </w:rPr>
        <w:t>The admin rights-confirmation flow uses a separate Entra step-up popup and callback completion route. Its purpose is to prove a recent high-assurance login before sensitive access changes, while returning to the existing app session rather than replacing the overall session. The callback URL must be registered exactly in Entra for the relevant deployment. A server error after entering credentials should be diagnosed from the deployment’s callback request and safe stage diagnostics, not by exposing provider payloads.</w:t>
      </w:r>
    </w:p>
    <w:p>
      <w:pPr>
        <w:widowControl/>
      </w:pPr>
      <w:r>
        <w:rPr>
          <w:rFonts w:ascii="Arial" w:hAnsi="Arial" w:eastAsia="Arial"/>
          <w:b w:val="0"/>
          <w:color w:val="111111"/>
          <w:sz w:val="22"/>
        </w:rPr>
        <w:t>The current provider configuration is single-tenant. Entra authentication proves identity under that tenant configuration; it does not establish a future SaaS company membership. Multi-directory support requires issuer and tenant validation, consent, invitation/enrollment, and membership checks before any company data is served.</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Single Entra tenant per deployment today. Multi-tenant identity and company membership are not enabled merely by adding a tenant identifier to a token.</w:t>
      </w:r>
    </w:p>
    <w:p>
      <w:r>
        <w:br w:type="page"/>
      </w:r>
    </w:p>
    <w:p>
      <w:pPr>
        <w:pStyle w:val="Heading1"/>
        <w:keepNext/>
      </w:pPr>
      <w:r>
        <w:rPr>
          <w:rFonts w:ascii="Arial" w:hAnsi="Arial" w:eastAsia="Arial"/>
          <w:b w:val="0"/>
          <w:color w:val="111111"/>
          <w:sz w:val="37"/>
        </w:rPr>
        <w:t>04  Server sessions and step-up security</w:t>
      </w:r>
    </w:p>
    <w:p>
      <w:pPr>
        <w:keepNext/>
        <w:spacing w:after="180"/>
      </w:pPr>
      <w:r>
        <w:rPr>
          <w:rFonts w:ascii="Arial" w:hAnsi="Arial" w:eastAsia="Arial"/>
          <w:b w:val="0"/>
          <w:color w:val="000000"/>
          <w:sz w:val="21"/>
        </w:rPr>
        <w:t>Session validity and recent reauthentication are separate checks.</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Existing app session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sensitive action requested</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short Entra step-up</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callback state validation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Existing app session → sensitive action requested → short Entra step-up → callback state validation → fresh marker → action rechecks rights → session continues</w:t>
      </w:r>
    </w:p>
    <w:p>
      <w:pPr>
        <w:widowControl/>
      </w:pPr>
      <w:r>
        <w:rPr>
          <w:rFonts w:ascii="Arial" w:hAnsi="Arial" w:eastAsia="Arial"/>
          <w:b w:val="0"/>
          <w:color w:val="111111"/>
          <w:sz w:val="22"/>
        </w:rPr>
        <w:t>The Auth.js JWT contains an application session identifier, while app_signin_sessions stores its server-side lifecycle. The record is created only after a successful provider login and is bound to normalized email. readAppSession checks identity binding, revocation, idle lifetime, and maximum lifetime. The documented policy is 30 minutes idle and 8 hours maximum. This makes app session validity dependent on database availability; failures fail closed rather than silently restoring a legacy session.</w:t>
      </w:r>
    </w:p>
    <w:p>
      <w:pPr>
        <w:widowControl/>
      </w:pPr>
      <w:r>
        <w:rPr>
          <w:rFonts w:ascii="Arial" w:hAnsi="Arial" w:eastAsia="Arial"/>
          <w:b w:val="0"/>
          <w:color w:val="111111"/>
          <w:sz w:val="22"/>
        </w:rPr>
        <w:t>The session helper exposes a freshness check and a way to mark a verified session fresh. Sensitive operations can require recent authentication without asking the user to discard the normal session. The step-up flow uses a narrow popup, same-origin callback completion, state correlation, and a short-lived confirmation result. The user’s main authenticated session remains distinct from the temporary confirmation exchange. This reduces interference with active pages and prevents an old login from authorizing an elevated rights change.</w:t>
      </w:r>
    </w:p>
    <w:p>
      <w:pPr>
        <w:widowControl/>
      </w:pPr>
      <w:r>
        <w:rPr>
          <w:rFonts w:ascii="Arial" w:hAnsi="Arial" w:eastAsia="Arial"/>
          <w:b w:val="0"/>
          <w:color w:val="111111"/>
          <w:sz w:val="22"/>
        </w:rPr>
        <w:t>Security-sensitive mutation logic must check freshness on the server at the point of action, not when opening a dialog. A confirmation dialog may remain open while a session expires or rights change. The route must therefore verify actor, session, freshness, target eligibility, and current authorization again immediately before committing. Session cookies should remain secure, HTTP-only, appropriately scoped to the base path, and protected by the framework’s CSRF/state handling.</w:t>
      </w:r>
    </w:p>
    <w:p>
      <w:pPr>
        <w:widowControl/>
      </w:pPr>
      <w:r>
        <w:rPr>
          <w:rFonts w:ascii="Arial" w:hAnsi="Arial" w:eastAsia="Arial"/>
          <w:b w:val="0"/>
          <w:color w:val="111111"/>
          <w:sz w:val="22"/>
        </w:rPr>
        <w:t>Operationally, monitor session table initialization, expiry denials, revocation failures, and callback mismatch errors. Do not log cookies, authorization codes, ID tokens, secrets, or raw provider responses. Keep diagnostics at stage and error-code level.</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Step-up is an authorization signal, not a grant of permissions. A recent login cannot bypass role, target, or scope checks.</w:t>
      </w:r>
    </w:p>
    <w:p>
      <w:r>
        <w:br w:type="page"/>
      </w:r>
    </w:p>
    <w:p>
      <w:pPr>
        <w:pStyle w:val="Heading1"/>
        <w:keepNext/>
      </w:pPr>
      <w:r>
        <w:rPr>
          <w:rFonts w:ascii="Arial" w:hAnsi="Arial" w:eastAsia="Arial"/>
          <w:b w:val="0"/>
          <w:color w:val="111111"/>
          <w:sz w:val="37"/>
        </w:rPr>
        <w:t>05  Roles and effective permissions</w:t>
      </w:r>
    </w:p>
    <w:p>
      <w:pPr>
        <w:keepNext/>
        <w:spacing w:after="180"/>
      </w:pPr>
      <w:r>
        <w:rPr>
          <w:rFonts w:ascii="Arial" w:hAnsi="Arial" w:eastAsia="Arial"/>
          <w:b w:val="0"/>
          <w:color w:val="000000"/>
          <w:sz w:val="21"/>
        </w:rPr>
        <w:t>Role defaults establish the baseline; explicit rights are resolved on the server.</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Role baseline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persisted overrides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eligible temporary grants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hard role restrictions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Role baseline → persisted overrides → eligible temporary grants → hard role restrictions → current permission set → record-level scope</w:t>
      </w:r>
    </w:p>
    <w:p>
      <w:pPr>
        <w:widowControl/>
      </w:pPr>
      <w:r>
        <w:rPr>
          <w:rFonts w:ascii="Arial" w:hAnsi="Arial" w:eastAsia="Arial"/>
          <w:b w:val="0"/>
          <w:color w:val="111111"/>
          <w:sz w:val="22"/>
        </w:rPr>
        <w:t>The five roles are contractor, employee, manager, account manager, and admin. lib/permissions.ts defines the permission vocabulary and baseline rights. Examples include creating, editing, deleting, and submitting entries; team and global time visibility; review; project administration; reports and exports; messaging; account handoff; timesheet-period management; and personal reporting. Role defaults are combined with stored overrides, then hard restrictions are applied. An account manager cannot use generic overrides to gain ordinary create/edit/delete/submit powers. Financial and technical controls are also separated from routine workflow delegation.</w:t>
      </w:r>
    </w:p>
    <w:p>
      <w:pPr>
        <w:widowControl/>
      </w:pPr>
      <w:r>
        <w:rPr>
          <w:rFonts w:ascii="Arial" w:hAnsi="Arial" w:eastAsia="Arial"/>
          <w:b w:val="0"/>
          <w:color w:val="111111"/>
          <w:sz w:val="22"/>
        </w:rPr>
        <w:t>lib/effective-permissions.ts obtains the role, persisted admin overrides, and temporary delegated rights. A temporary grant is accepted only when its grantor remains authorized to grant that right. lib/permissions.ts restricts manager delegation to a small operational allowlist: entry controls, project creation, team visibility, reports, and messaging. Managers cannot promote roles, unblock accounts, or grant financial, technical-admin, AI, or delegation authority.</w:t>
      </w:r>
    </w:p>
    <w:p>
      <w:pPr>
        <w:widowControl/>
      </w:pPr>
      <w:r>
        <w:rPr>
          <w:rFonts w:ascii="Arial" w:hAnsi="Arial" w:eastAsia="Arial"/>
          <w:b w:val="0"/>
          <w:color w:val="111111"/>
          <w:sz w:val="22"/>
        </w:rPr>
        <w:t>Every mutation resolves access again. For data access, permissions are combined with ownership and review scope; review-access.ts, reviewer assignment, and manager/team predicates further limit rows. This explains why view_team is not interchangeable with review_entries, and why reviewing another manager’s personal timesheet requires a distinct permission and assigned account-manager lane.</w:t>
      </w:r>
    </w:p>
    <w:p>
      <w:pPr>
        <w:widowControl/>
      </w:pPr>
      <w:r>
        <w:rPr>
          <w:rFonts w:ascii="Arial" w:hAnsi="Arial" w:eastAsia="Arial"/>
          <w:b w:val="0"/>
          <w:color w:val="111111"/>
          <w:sz w:val="22"/>
        </w:rPr>
        <w:t>Rights updates preserve a last active admin, use serializable checks where needed, and are audited. Browser notifications and polling refresh stale controls, but the server’s current permission result is decisive. When AI proposes a rights change, it selects a real active directory target from authorized context; the action route repeats target and permission checks.</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Rights are granular controls, not a replacement for record ownership, assigned review lane, period state, or recent step-up checks.</w:t>
      </w:r>
    </w:p>
    <w:p>
      <w:r>
        <w:br w:type="page"/>
      </w:r>
    </w:p>
    <w:p>
      <w:pPr>
        <w:pStyle w:val="Heading1"/>
        <w:keepNext/>
      </w:pPr>
      <w:r>
        <w:rPr>
          <w:rFonts w:ascii="Arial" w:hAnsi="Arial" w:eastAsia="Arial"/>
          <w:b w:val="0"/>
          <w:color w:val="111111"/>
          <w:sz w:val="37"/>
        </w:rPr>
        <w:t>06  People, identity, and directory</w:t>
      </w:r>
    </w:p>
    <w:p>
      <w:pPr>
        <w:keepNext/>
        <w:spacing w:after="180"/>
      </w:pPr>
      <w:r>
        <w:rPr>
          <w:rFonts w:ascii="Arial" w:hAnsi="Arial" w:eastAsia="Arial"/>
          <w:b w:val="0"/>
          <w:color w:val="000000"/>
          <w:sz w:val="21"/>
        </w:rPr>
        <w:t>The directory links an authenticated account to its official work identity and organization status.</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Entra email</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normalized account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role and lifecycle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official identity</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Entra email → normalized account → role and lifecycle → official identity → manager relationship → scoped directory and assignments</w:t>
      </w:r>
    </w:p>
    <w:p>
      <w:pPr>
        <w:widowControl/>
      </w:pPr>
      <w:r>
        <w:rPr>
          <w:rFonts w:ascii="Arial" w:hAnsi="Arial" w:eastAsia="Arial"/>
          <w:b w:val="0"/>
          <w:color w:val="111111"/>
          <w:sz w:val="22"/>
        </w:rPr>
        <w:t>Identity and access are handled separately from display names. Authenticated email is normalized and used as the account key; official name and optional company employee identifier are maintained through identity-management workflows. Timesheet rows carry their owner identity and a display name, but the owner is not trusted from a client patch. Entry creation obtains the official identity from server-managed account identity data. This prevents a user from renaming a record to impersonate another worker.</w:t>
      </w:r>
    </w:p>
    <w:p>
      <w:pPr>
        <w:widowControl/>
      </w:pPr>
      <w:r>
        <w:rPr>
          <w:rFonts w:ascii="Arial" w:hAnsi="Arial" w:eastAsia="Arial"/>
          <w:b w:val="0"/>
          <w:color w:val="111111"/>
          <w:sz w:val="22"/>
        </w:rPr>
        <w:t>The admin directory supports role and access-state management. Configured managers may see a workforce directory in the scope allowed to them, including their employees and contractors. For directory reads, the route should apply the same manager relationship and active-state rules as related team data. The UI can expose edit actions only for eligible accounts; users and delegation APIs validate the proposed target and permitted rights independently.</w:t>
      </w:r>
    </w:p>
    <w:p>
      <w:pPr>
        <w:widowControl/>
      </w:pPr>
      <w:r>
        <w:rPr>
          <w:rFonts w:ascii="Arial" w:hAnsi="Arial" w:eastAsia="Arial"/>
          <w:b w:val="0"/>
          <w:color w:val="111111"/>
          <w:sz w:val="22"/>
        </w:rPr>
        <w:t>Lifecycle state is distinct from role. An account can be active, denied, suspended, retired, or blocked, depending on the supported workflow. Suspending access must invalidate or prevent future session use; disabling a user in Microsoft alone does not automatically clean up all Tanovo-specific delegated grants, project assignments, review requests, and personal data. The app has lifecycle services and audit events for these transitions.</w:t>
      </w:r>
    </w:p>
    <w:p>
      <w:pPr>
        <w:widowControl/>
      </w:pPr>
      <w:r>
        <w:rPr>
          <w:rFonts w:ascii="Arial" w:hAnsi="Arial" w:eastAsia="Arial"/>
          <w:b w:val="0"/>
          <w:color w:val="111111"/>
          <w:sz w:val="22"/>
        </w:rPr>
        <w:t>Contractors may self-create a project when create_projects is granted. The backend associates the new project with the actor’s responsible manager, and the organization manager can then see the creator and appointed relationship in project assignment management. That relationship must remain explicit; a project name itself does not grant access to log time.</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Personal email domains can be used in this deployment. Email suffix alone is not proof of company ownership in a future onboarding system.</w:t>
      </w:r>
    </w:p>
    <w:p>
      <w:r>
        <w:br w:type="page"/>
      </w:r>
    </w:p>
    <w:p>
      <w:pPr>
        <w:pStyle w:val="Heading1"/>
        <w:keepNext/>
      </w:pPr>
      <w:r>
        <w:rPr>
          <w:rFonts w:ascii="Arial" w:hAnsi="Arial" w:eastAsia="Arial"/>
          <w:b w:val="0"/>
          <w:color w:val="111111"/>
          <w:sz w:val="37"/>
        </w:rPr>
        <w:t>07  Timesheet entry lifecycle</w:t>
      </w:r>
    </w:p>
    <w:p>
      <w:pPr>
        <w:keepNext/>
        <w:spacing w:after="180"/>
      </w:pPr>
      <w:r>
        <w:rPr>
          <w:rFonts w:ascii="Arial" w:hAnsi="Arial" w:eastAsia="Arial"/>
          <w:b w:val="0"/>
          <w:color w:val="000000"/>
          <w:sz w:val="21"/>
        </w:rPr>
        <w:t>An entry is evidence that moves through controlled states, not just a row in a grid.</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Draft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submit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assigned reviewer</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approve or reject with reason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audit history and current revision</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Draft → submit → assigned reviewer → approve or reject with reason → audit history and current revision</w:t>
      </w:r>
    </w:p>
    <w:p>
      <w:pPr>
        <w:widowControl/>
      </w:pPr>
      <w:r>
        <w:rPr>
          <w:rFonts w:ascii="Arial" w:hAnsi="Arial" w:eastAsia="Arial"/>
          <w:b w:val="0"/>
          <w:color w:val="111111"/>
          <w:sz w:val="22"/>
        </w:rPr>
        <w:t>The collection API in app/api/entries/route.ts loads entries using the actor’s visibility scope. It batches review-access checks, adds eligibility metadata for the UI, and resolves official identities for display. Creation requires create_entries, a configured timesheet period, a work date inside that period, and an assigned project for employee and contractor accounts. The server supplies or validates the owner identity. Archived periods are read-only for ordinary personal edits.</w:t>
      </w:r>
    </w:p>
    <w:p>
      <w:pPr>
        <w:widowControl/>
      </w:pPr>
      <w:r>
        <w:rPr>
          <w:rFonts w:ascii="Arial" w:hAnsi="Arial" w:eastAsia="Arial"/>
          <w:b w:val="0"/>
          <w:color w:val="111111"/>
          <w:sz w:val="22"/>
        </w:rPr>
        <w:t>An individual row route handles PATCH and DELETE. The patch schema is strict and accepts only recognized fields. The route loads the current row using role-aware access, checks ownership/review visibility, checks project assignment, enforces payout locks, and rejects stale or illegal state changes. Personal users may submit drafts or rejected rows, or recall a submitted row; reviewers may approve, reject, or return an eligible submission to draft. Rejection requires a reason. Managers cannot review their own entries, and separate reviewer assignment rules route personal submissions.</w:t>
      </w:r>
    </w:p>
    <w:p>
      <w:pPr>
        <w:widowControl/>
      </w:pPr>
      <w:r>
        <w:rPr>
          <w:rFonts w:ascii="Arial" w:hAnsi="Arial" w:eastAsia="Arial"/>
          <w:b w:val="0"/>
          <w:color w:val="111111"/>
          <w:sz w:val="22"/>
        </w:rPr>
        <w:t>Database helpers such as updateTimeEntryWithAudit, submitTimeEntryWithAudit, and rejectSubmittedEntry encapsulate SQL mutation with event history. Revision tokens provide optimistic concurrency: a client edits a particular version, and a stale update is rejected rather than overwriting a newer decision. After a failure, the UI must reload current state before retrying. This is important when a request may have reached the server but its response was lost.</w:t>
      </w:r>
    </w:p>
    <w:p>
      <w:pPr>
        <w:widowControl/>
      </w:pPr>
      <w:r>
        <w:rPr>
          <w:rFonts w:ascii="Arial" w:hAnsi="Arial" w:eastAsia="Arial"/>
          <w:b w:val="0"/>
          <w:color w:val="111111"/>
          <w:sz w:val="22"/>
        </w:rPr>
        <w:t>Supported status names include draft, submitted, approved, and rejected. Presentation colors distinguish approved and rejected from draft, but colors do not implement the transition policy.</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Entry creation is period-bound; project lifetime can span periods. A confirmed manager decision is a human action even when AI prepared the recommendation.</w:t>
      </w:r>
    </w:p>
    <w:p>
      <w:r>
        <w:br w:type="page"/>
      </w:r>
    </w:p>
    <w:p>
      <w:pPr>
        <w:pStyle w:val="Heading1"/>
        <w:keepNext/>
      </w:pPr>
      <w:r>
        <w:rPr>
          <w:rFonts w:ascii="Arial" w:hAnsi="Arial" w:eastAsia="Arial"/>
          <w:b w:val="0"/>
          <w:color w:val="111111"/>
          <w:sz w:val="37"/>
        </w:rPr>
        <w:t>08  Periods, deadlines, and extensions</w:t>
      </w:r>
    </w:p>
    <w:p>
      <w:pPr>
        <w:keepNext/>
        <w:spacing w:after="180"/>
      </w:pPr>
      <w:r>
        <w:rPr>
          <w:rFonts w:ascii="Arial" w:hAnsi="Arial" w:eastAsia="Arial"/>
          <w:b w:val="0"/>
          <w:color w:val="000000"/>
          <w:sz w:val="21"/>
        </w:rPr>
        <w:t>Period configuration defines the legal work-date window and submission clock.</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Period configuration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work-date validation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deadline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extension request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Period configuration → work-date validation → deadline → extension request → assigned account manager decision → eligible submission only</w:t>
      </w:r>
    </w:p>
    <w:p>
      <w:pPr>
        <w:widowControl/>
      </w:pPr>
      <w:r>
        <w:rPr>
          <w:rFonts w:ascii="Arial" w:hAnsi="Arial" w:eastAsia="Arial"/>
          <w:b w:val="0"/>
          <w:color w:val="111111"/>
          <w:sz w:val="22"/>
        </w:rPr>
        <w:t>The timesheet-periods API lets authorized administrators or account managers read and manage configured windows. Creation and update validate period names, date ranges, deadline timing, and non-overlap. Updates include a reason and are audited. Past periods become archived/read-only for ordinary entry changes. Deadline reminders are generated by a separate reminder service and route, while the client presents the selected current or archived period.</w:t>
      </w:r>
    </w:p>
    <w:p>
      <w:pPr>
        <w:widowControl/>
      </w:pPr>
      <w:r>
        <w:rPr>
          <w:rFonts w:ascii="Arial" w:hAnsi="Arial" w:eastAsia="Arial"/>
          <w:b w:val="0"/>
          <w:color w:val="111111"/>
          <w:sz w:val="22"/>
        </w:rPr>
        <w:t>Entries are checked against configured work-date bounds when created and edited. Projects are not period-owned, so one project can receive time across multiple periods. The selected period is therefore an entry validation context, not a project lifecycle boundary. A deployment with no configured periods should not silently accept dates; the appropriate response is to ask an administrator to configure one.</w:t>
      </w:r>
    </w:p>
    <w:p>
      <w:pPr>
        <w:widowControl/>
      </w:pPr>
      <w:r>
        <w:rPr>
          <w:rFonts w:ascii="Arial" w:hAnsi="Arial" w:eastAsia="Arial"/>
          <w:b w:val="0"/>
          <w:color w:val="111111"/>
          <w:sz w:val="22"/>
        </w:rPr>
        <w:t>Contractors and employees can request a submission extension for an eligible period and reason. The request route verifies the requester’s role and submit right, validates requested end date (bounded to 90 days), confirms there are eligible draft or returned entries, prevents a duplicate pending request, and resolves an account-manager reviewer. The assigned account manager can approve or deny a still-pending request with a note. Decision storage is audited. An approved extension permits submitting existing eligible drafts in the archived period; it does not reopen edits or permit new entries.</w:t>
      </w:r>
    </w:p>
    <w:p>
      <w:pPr>
        <w:widowControl/>
      </w:pPr>
      <w:r>
        <w:rPr>
          <w:rFonts w:ascii="Arial" w:hAnsi="Arial" w:eastAsia="Arial"/>
          <w:b w:val="0"/>
          <w:color w:val="111111"/>
          <w:sz w:val="22"/>
        </w:rPr>
        <w:t>UI design should keep period identity, deadline, and extension state visible near commands. Regardless of display, the API must recheck the configured period and extension at submission time. A deadline label is informative; it cannot substitute for server-side period policy.</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Extensions affect submission eligibility only. They do not change archived work dates, permit edits, or alter the configured period boundaries.</w:t>
      </w:r>
    </w:p>
    <w:p>
      <w:r>
        <w:br w:type="page"/>
      </w:r>
    </w:p>
    <w:p>
      <w:pPr>
        <w:pStyle w:val="Heading1"/>
        <w:keepNext/>
      </w:pPr>
      <w:r>
        <w:rPr>
          <w:rFonts w:ascii="Arial" w:hAnsi="Arial" w:eastAsia="Arial"/>
          <w:b w:val="0"/>
          <w:color w:val="111111"/>
          <w:sz w:val="37"/>
        </w:rPr>
        <w:t>09  Project catalog and assignments</w:t>
      </w:r>
    </w:p>
    <w:p>
      <w:pPr>
        <w:keepNext/>
        <w:spacing w:after="180"/>
      </w:pPr>
      <w:r>
        <w:rPr>
          <w:rFonts w:ascii="Arial" w:hAnsi="Arial" w:eastAsia="Arial"/>
          <w:b w:val="0"/>
          <w:color w:val="000000"/>
          <w:sz w:val="21"/>
        </w:rPr>
        <w:t>Projects are organization resources with explicit person assignments.</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Worker request or manager create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project record</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responsible manager</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explicit assignments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eligible time entry across periods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Worker request or manager create → project record → responsible manager → explicit assignments → eligible time entry across periods</w:t>
      </w:r>
    </w:p>
    <w:p>
      <w:pPr>
        <w:widowControl/>
      </w:pPr>
      <w:r>
        <w:rPr>
          <w:rFonts w:ascii="Arial" w:hAnsi="Arial" w:eastAsia="Arial"/>
          <w:b w:val="0"/>
          <w:color w:val="111111"/>
          <w:sz w:val="22"/>
        </w:rPr>
        <w:t>The projects API returns the organization catalog and assignment roster to authorized managers and admins with manage_projects; other users receive only their assigned projects. Managers can create organization projects, assign or remove people, and archive projects. The route validates names and assignment targets, and database helpers persist projects and memberships. Archived projects are no longer available for new work selection, while historical entries remain meaningful.</w:t>
      </w:r>
    </w:p>
    <w:p>
      <w:pPr>
        <w:widowControl/>
      </w:pPr>
      <w:r>
        <w:rPr>
          <w:rFonts w:ascii="Arial" w:hAnsi="Arial" w:eastAsia="Arial"/>
          <w:b w:val="0"/>
          <w:color w:val="111111"/>
          <w:sz w:val="22"/>
        </w:rPr>
        <w:t>A contractor or employee with the delegated create_projects right may add a project from their workflow. The server sets creator identity and resolves the responsible manager rather than trusting a browser-supplied manager. Manager views should show the creator, responsible manager, and assignment state; the appointment check represents an explicit assignment record, not merely a matching manager label. A manager can then review the request and assign the new project to the appropriate workers.</w:t>
      </w:r>
    </w:p>
    <w:p>
      <w:pPr>
        <w:widowControl/>
      </w:pPr>
      <w:r>
        <w:rPr>
          <w:rFonts w:ascii="Arial" w:hAnsi="Arial" w:eastAsia="Arial"/>
          <w:b w:val="0"/>
          <w:color w:val="111111"/>
          <w:sz w:val="22"/>
        </w:rPr>
        <w:t>Assignments govern time-entry eligibility. A worker cannot log against an unassigned project simply by typing its name. Entry creation and project edits query the actor’s assigned projects and reject unknown names. This check must cover case normalization and archived status consistently. Project creation itself does not create a timesheet or imply approval.</w:t>
      </w:r>
    </w:p>
    <w:p>
      <w:pPr>
        <w:widowControl/>
      </w:pPr>
      <w:r>
        <w:rPr>
          <w:rFonts w:ascii="Arial" w:hAnsi="Arial" w:eastAsia="Arial"/>
          <w:b w:val="0"/>
          <w:color w:val="111111"/>
          <w:sz w:val="22"/>
        </w:rPr>
        <w:t>Project records are organization-wide in the current single-company deployment and may span multiple timesheet periods. For future SaaS, each project and assignment must be scoped to a company. Uniqueness, assignment joins, archived state, project search, reports, and assistant context all need tenant-aware predicates before a shared database is safe.</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Self-created projects are a proposal/catalog addition, not automatic approval, automatic assignment, or a new timesheet period.</w:t>
      </w:r>
    </w:p>
    <w:p>
      <w:r>
        <w:br w:type="page"/>
      </w:r>
    </w:p>
    <w:p>
      <w:pPr>
        <w:pStyle w:val="Heading1"/>
        <w:keepNext/>
      </w:pPr>
      <w:r>
        <w:rPr>
          <w:rFonts w:ascii="Arial" w:hAnsi="Arial" w:eastAsia="Arial"/>
          <w:b w:val="0"/>
          <w:color w:val="111111"/>
          <w:sz w:val="37"/>
        </w:rPr>
        <w:t>10  Manager review and account handoff</w:t>
      </w:r>
    </w:p>
    <w:p>
      <w:pPr>
        <w:keepNext/>
        <w:spacing w:after="180"/>
      </w:pPr>
      <w:r>
        <w:rPr>
          <w:rFonts w:ascii="Arial" w:hAnsi="Arial" w:eastAsia="Arial"/>
          <w:b w:val="0"/>
          <w:color w:val="000000"/>
          <w:sz w:val="21"/>
        </w:rPr>
        <w:t>Operational approval and business-account triage are different controls.</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Workforce submission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assigned manager decision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approved evidence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account handoff</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Workforce submission → assigned manager decision → approved evidence → account handoff → account-manager triage → separate export</w:t>
      </w:r>
    </w:p>
    <w:p>
      <w:pPr>
        <w:widowControl/>
      </w:pPr>
      <w:r>
        <w:rPr>
          <w:rFonts w:ascii="Arial" w:hAnsi="Arial" w:eastAsia="Arial"/>
          <w:b w:val="0"/>
          <w:color w:val="111111"/>
          <w:sz w:val="22"/>
        </w:rPr>
        <w:t>Managers review assigned employee and contractor entries when they have review_entries and the entry is in their review lane. Account managers can review operational records only where the required policy allows it; manager-owned timesheets use a separate review_manager_entries right and reviewer assignment. A manager must not approve their own timesheet. review-access.ts, review-policy.ts, and reviewer resolution implement these distinctions across route handlers.</w:t>
      </w:r>
    </w:p>
    <w:p>
      <w:pPr>
        <w:widowControl/>
      </w:pPr>
      <w:r>
        <w:rPr>
          <w:rFonts w:ascii="Arial" w:hAnsi="Arial" w:eastAsia="Arial"/>
          <w:b w:val="0"/>
          <w:color w:val="111111"/>
          <w:sz w:val="22"/>
        </w:rPr>
        <w:t>The review queue supports selection, filters, sorting, grouping, and explicit bulk review. Bulk actions still resolve each record, re-check eligibility, and save through the same server rules as a single action. For uncertain decisions, the system keeps the row in a review state rather than inferring approval. Rejection requires a recorded reason. The client refreshes the queue when its filters or selected period change, and the API returns conflict responses where current row state no longer matches the proposed decision.</w:t>
      </w:r>
    </w:p>
    <w:p>
      <w:pPr>
        <w:widowControl/>
      </w:pPr>
      <w:r>
        <w:rPr>
          <w:rFonts w:ascii="Arial" w:hAnsi="Arial" w:eastAsia="Arial"/>
          <w:b w:val="0"/>
          <w:color w:val="111111"/>
          <w:sz w:val="22"/>
        </w:rPr>
        <w:t>An approved contractor or employee entry can then be handed to a business account through the account handoff workflow. Approval is not payment. The handoff associates approved evidence with an account manager for triage and may preserve an immutable snapshot/version for downstream business review. Account-manager export is a separate permissioned operation and currently returns a versioned JSON format through /api/accounts/export; it is not the general patron PDF/CSV export feature.</w:t>
      </w:r>
    </w:p>
    <w:p>
      <w:pPr>
        <w:widowControl/>
      </w:pPr>
      <w:r>
        <w:rPr>
          <w:rFonts w:ascii="Arial" w:hAnsi="Arial" w:eastAsia="Arial"/>
          <w:b w:val="0"/>
          <w:color w:val="111111"/>
          <w:sz w:val="22"/>
        </w:rPr>
        <w:t>This distinction prevents a common control error: an account reviewer may validate evidence for business processing without changing the original operational approval or authorizing a funds transfer. Payment authorization remains separately modeled and is not equivalent to an approved timesheet.</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Current account export is a scoped JSON schema. Generic patron PDF/CSV export and payment execution must not be described as implemented.</w:t>
      </w:r>
    </w:p>
    <w:p>
      <w:r>
        <w:br w:type="page"/>
      </w:r>
    </w:p>
    <w:p>
      <w:pPr>
        <w:pStyle w:val="Heading1"/>
        <w:keepNext/>
      </w:pPr>
      <w:r>
        <w:rPr>
          <w:rFonts w:ascii="Arial" w:hAnsi="Arial" w:eastAsia="Arial"/>
          <w:b w:val="0"/>
          <w:color w:val="111111"/>
          <w:sz w:val="37"/>
        </w:rPr>
        <w:t>11  Reports, activity, and audit</w:t>
      </w:r>
    </w:p>
    <w:p>
      <w:pPr>
        <w:keepNext/>
        <w:spacing w:after="180"/>
      </w:pPr>
      <w:r>
        <w:rPr>
          <w:rFonts w:ascii="Arial" w:hAnsi="Arial" w:eastAsia="Arial"/>
          <w:b w:val="0"/>
          <w:color w:val="000000"/>
          <w:sz w:val="21"/>
        </w:rPr>
        <w:t>Reports summarize records; audit events answer who changed what and when.</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User action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validated mutation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audit event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scoped reporting query</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User action → validated mutation → audit event → scoped reporting query → filters and sort → paginated presentation</w:t>
      </w:r>
    </w:p>
    <w:p>
      <w:pPr>
        <w:widowControl/>
      </w:pPr>
      <w:r>
        <w:rPr>
          <w:rFonts w:ascii="Arial" w:hAnsi="Arial" w:eastAsia="Arial"/>
          <w:b w:val="0"/>
          <w:color w:val="111111"/>
          <w:sz w:val="22"/>
        </w:rPr>
        <w:t>The reporting workspace links timesheet analytics, activity history, security risks, issue requests, and AI workflow activity. Raw time records remain in the timesheet workspace. Admin-focused reports include dedicated views for permission changes, period creation or update, and project creation so the operator can see actor, target, event time, and relevant request context. Activity logs are sorted and filterable by fields such as action, actor, target, route, and type, subject to role and visibility.</w:t>
      </w:r>
    </w:p>
    <w:p>
      <w:pPr>
        <w:widowControl/>
      </w:pPr>
      <w:r>
        <w:rPr>
          <w:rFonts w:ascii="Arial" w:hAnsi="Arial" w:eastAsia="Arial"/>
          <w:b w:val="0"/>
          <w:color w:val="111111"/>
          <w:sz w:val="22"/>
        </w:rPr>
        <w:t>Audit events are separate from application diagnostics. Business audit records capture the actor, action name, target type and ID, safe metadata, and request context. Sensitive content such as plaintext messages, access tokens, and authentication payloads should not be copied into audit fields. Security reports or client error reports can hold operational diagnostics, but their data is untrusted evidence and must be sanitized before display or AI use.</w:t>
      </w:r>
    </w:p>
    <w:p>
      <w:pPr>
        <w:widowControl/>
      </w:pPr>
      <w:r>
        <w:rPr>
          <w:rFonts w:ascii="Arial" w:hAnsi="Arial" w:eastAsia="Arial"/>
          <w:b w:val="0"/>
          <w:color w:val="111111"/>
          <w:sz w:val="22"/>
        </w:rPr>
        <w:t>Report APIs should compute counts from the authorized dataset, not from client-provided totals. Pagination and filtering must be bounded. Sorting is implemented by an allowlist of database columns, never direct string interpolation from a query parameter. The current product has extensive operational reporting, but not every requested export is present. In particular, patron-level PDF/CSV output remains a separate product capability that needs per-role permissions, field selection, redaction rules, and tests.</w:t>
      </w:r>
    </w:p>
    <w:p>
      <w:pPr>
        <w:widowControl/>
      </w:pPr>
      <w:r>
        <w:rPr>
          <w:rFonts w:ascii="Arial" w:hAnsi="Arial" w:eastAsia="Arial"/>
          <w:b w:val="0"/>
          <w:color w:val="111111"/>
          <w:sz w:val="22"/>
        </w:rPr>
        <w:t>Retention policy matters: audit history and business records serve different purposes. A future tenant policy must define retention, customer export, deletion, legal holds, and who can view security diagnostics. Admin visibility should not turn diagnostic records into unrestricted access to message plaintext.</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Audit reporting describes recorded application activity; it does not prove that every external or human action was captured.</w:t>
      </w:r>
    </w:p>
    <w:p>
      <w:r>
        <w:br w:type="page"/>
      </w:r>
    </w:p>
    <w:p>
      <w:pPr>
        <w:pStyle w:val="Heading1"/>
        <w:keepNext/>
      </w:pPr>
      <w:r>
        <w:rPr>
          <w:rFonts w:ascii="Arial" w:hAnsi="Arial" w:eastAsia="Arial"/>
          <w:b w:val="0"/>
          <w:color w:val="111111"/>
          <w:sz w:val="37"/>
        </w:rPr>
        <w:t>12  Messaging and announcements</w:t>
      </w:r>
    </w:p>
    <w:p>
      <w:pPr>
        <w:keepNext/>
        <w:spacing w:after="180"/>
      </w:pPr>
      <w:r>
        <w:rPr>
          <w:rFonts w:ascii="Arial" w:hAnsi="Arial" w:eastAsia="Arial"/>
          <w:b w:val="0"/>
          <w:color w:val="000000"/>
          <w:sz w:val="21"/>
        </w:rPr>
        <w:t>The inbox combines role-scoped delivery with client-side encrypted message content.</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Compose text in browser</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encrypt and sign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wrap key to participants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validate audience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Compose text in browser → encrypt and sign → wrap key to participants → validate audience → store ciphertext → authorized recipient verifies and decrypts</w:t>
      </w:r>
    </w:p>
    <w:p>
      <w:pPr>
        <w:widowControl/>
      </w:pPr>
      <w:r>
        <w:rPr>
          <w:rFonts w:ascii="Arial" w:hAnsi="Arial" w:eastAsia="Arial"/>
          <w:b w:val="0"/>
          <w:color w:val="111111"/>
          <w:sz w:val="22"/>
        </w:rPr>
        <w:t>app/api/messages/route.ts scopes inbox reads to the signed-in account and returns names resolved from official identities. Direct and group announcements use separate audience rules. Only authorized managers and admins can send workforce announcements; direct message access depends on send_messages and the recipient/audience policy. Read receipts, the sender’s alignment preference, message editing, local hide, and unsend are separate API actions. Edits and unsends are restricted by sender and time window, with an admin moderation path.</w:t>
      </w:r>
    </w:p>
    <w:p>
      <w:pPr>
        <w:widowControl/>
      </w:pPr>
      <w:r>
        <w:rPr>
          <w:rFonts w:ascii="Arial" w:hAnsi="Arial" w:eastAsia="Arial"/>
          <w:b w:val="0"/>
          <w:color w:val="111111"/>
          <w:sz w:val="22"/>
        </w:rPr>
        <w:t>Message content uses browser-side Web Crypto. The client generates an AES-GCM content key for each message, encrypts the body, and wraps that key for each participant using RSA-OAEP. ECDSA signs canonical ciphertext and conversation metadata. The server stores and routes the envelope but does not need plaintext to deliver the message. Private keys remain client-side; optional recovery encrypts key material with a passphrase-derived key. Each recipient must enroll a device identity before receiving decryptable content.</w:t>
      </w:r>
    </w:p>
    <w:p>
      <w:pPr>
        <w:widowControl/>
      </w:pPr>
      <w:r>
        <w:rPr>
          <w:rFonts w:ascii="Arial" w:hAnsi="Arial" w:eastAsia="Arial"/>
          <w:b w:val="0"/>
          <w:color w:val="111111"/>
          <w:sz w:val="22"/>
        </w:rPr>
        <w:t>The API validates the envelope structure and participant keys against the intended audience. It rejects a group/recipient mismatch and ensures recipients have encryption setup. The audit log stores event metadata and recipient count, not message text. Because content is encrypted, server-side search, moderation, and AI summarization cannot inspect plaintext unless a user explicitly shares the text into an AI context.</w:t>
      </w:r>
    </w:p>
    <w:p>
      <w:pPr>
        <w:widowControl/>
      </w:pPr>
      <w:r>
        <w:rPr>
          <w:rFonts w:ascii="Arial" w:hAnsi="Arial" w:eastAsia="Arial"/>
          <w:b w:val="0"/>
          <w:color w:val="111111"/>
          <w:sz w:val="22"/>
        </w:rPr>
        <w:t>Message UI behavior includes sender spacing, content-sized bubbles capped at half the conversation width, user-selectable alignment, and ticks without redundant “delivered/unread” wording. UI presentation does not weaken participant authorization or cryptographic verification.</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Server storage is not a plaintext archive. Key recovery, device loss, group membership changes, and retention require deliberate operational policy.</w:t>
      </w:r>
    </w:p>
    <w:p>
      <w:r>
        <w:br w:type="page"/>
      </w:r>
    </w:p>
    <w:p>
      <w:pPr>
        <w:pStyle w:val="Heading1"/>
        <w:keepNext/>
      </w:pPr>
      <w:r>
        <w:rPr>
          <w:rFonts w:ascii="Arial" w:hAnsi="Arial" w:eastAsia="Arial"/>
          <w:b w:val="0"/>
          <w:color w:val="111111"/>
          <w:sz w:val="37"/>
        </w:rPr>
        <w:t>13  AI assistant and command workflow</w:t>
      </w:r>
    </w:p>
    <w:p>
      <w:pPr>
        <w:keepNext/>
        <w:spacing w:after="180"/>
      </w:pPr>
      <w:r>
        <w:rPr>
          <w:rFonts w:ascii="Arial" w:hAnsi="Arial" w:eastAsia="Arial"/>
          <w:b w:val="0"/>
          <w:color w:val="000000"/>
          <w:sz w:val="21"/>
        </w:rPr>
        <w:t>The assistant grounds answers in scoped data and proposes typed commands; it does not freely operate the browser.</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Scoped request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model structured answer</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schema and context checks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signed proposal</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Scoped request → model structured answer → schema and context checks → signed proposal → human confirmation → one-time server dispatch → business route rechecks</w:t>
      </w:r>
    </w:p>
    <w:p>
      <w:pPr>
        <w:widowControl/>
      </w:pPr>
      <w:r>
        <w:rPr>
          <w:rFonts w:ascii="Arial" w:hAnsi="Arial" w:eastAsia="Arial"/>
          <w:b w:val="0"/>
          <w:color w:val="111111"/>
          <w:sz w:val="22"/>
        </w:rPr>
        <w:t>app/api/assistant/route.ts accepts a bounded same-origin request, authenticates the actor, loads effective permissions, applies a database-backed rate limit, and loads only selected authorized context. It can include up to 100 time entries, a bounded message metadata view, a role-authorized directory, a reviewer, configured periods, and selected admin issue records. It excludes message plaintext unless the user explicitly shares it. Context is narrowed by workspace and role; the model is told that user data and record descriptions are untrusted evidence.</w:t>
      </w:r>
    </w:p>
    <w:p>
      <w:pPr>
        <w:widowControl/>
      </w:pPr>
      <w:r>
        <w:rPr>
          <w:rFonts w:ascii="Arial" w:hAnsi="Arial" w:eastAsia="Arial"/>
          <w:b w:val="0"/>
          <w:color w:val="111111"/>
          <w:sz w:val="22"/>
        </w:rPr>
        <w:t>The response uses a Zod schema with a closed action vocabulary. canOfferAction filters proposals against current access; IDs and revisions must match loaded context; entry creation must use the selected configured period and fit its dates. A proposal is signed and bound to actor and app session. In components/assistant-panel.tsx, a review popup presents the proposed operation. Clicking confirm posts the signed token to /api/assistant/actions.</w:t>
      </w:r>
    </w:p>
    <w:p>
      <w:pPr>
        <w:widowControl/>
      </w:pPr>
      <w:r>
        <w:rPr>
          <w:rFonts w:ascii="Arial" w:hAnsi="Arial" w:eastAsia="Arial"/>
          <w:b w:val="0"/>
          <w:color w:val="111111"/>
          <w:sz w:val="22"/>
        </w:rPr>
        <w:t>The action route verifies signature, actor, session, expiry, current permission, and a one-time nonce. It dispatches approved operation types through existing business route handlers, which repeat their own checks. A replay is rejected; uncertain outcomes instruct the user to refresh. Navigation proposals ask the application shell to open an allowed workspace. The assistant does not execute arbitrary clicks, JavaScript, selectors, or untyped commands.</w:t>
      </w:r>
    </w:p>
    <w:p>
      <w:pPr>
        <w:widowControl/>
      </w:pPr>
      <w:r>
        <w:rPr>
          <w:rFonts w:ascii="Arial" w:hAnsi="Arial" w:eastAsia="Arial"/>
          <w:b w:val="0"/>
          <w:color w:val="111111"/>
          <w:sz w:val="22"/>
        </w:rPr>
        <w:t>This is a human-in-the-loop command proposal design, not an autonomous computer-use agent. Provider/model selection is configured per workflow in lib/ai-models.ts; current default identifiers are openai/gpt-5.4-mini. Actual availability depends on deployment credentials and AI Gateway configuration. Preview assistant errors remain under investigation until verified on the live deployment.</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AI output is advisory. Model availability, cost, data retention, gateway routing, and tool expansion need operations review before broader release.</w:t>
      </w:r>
    </w:p>
    <w:p>
      <w:r>
        <w:br w:type="page"/>
      </w:r>
    </w:p>
    <w:p>
      <w:pPr>
        <w:pStyle w:val="Heading1"/>
        <w:keepNext/>
      </w:pPr>
      <w:r>
        <w:rPr>
          <w:rFonts w:ascii="Arial" w:hAnsi="Arial" w:eastAsia="Arial"/>
          <w:b w:val="0"/>
          <w:color w:val="111111"/>
          <w:sz w:val="37"/>
        </w:rPr>
        <w:t>14  AI review and submission preparation</w:t>
      </w:r>
    </w:p>
    <w:p>
      <w:pPr>
        <w:keepNext/>
        <w:spacing w:after="180"/>
      </w:pPr>
      <w:r>
        <w:rPr>
          <w:rFonts w:ascii="Arial" w:hAnsi="Arial" w:eastAsia="Arial"/>
          <w:b w:val="0"/>
          <w:color w:val="000000"/>
          <w:sz w:val="21"/>
        </w:rPr>
        <w:t>The review and preparation workflows are separate from general assistant chat.</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Authorized rows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minimized evidence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structured recommendation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ID and revision checks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Authorized rows → minimized evidence → structured recommendation → ID and revision checks → human decision → existing mutation API</w:t>
      </w:r>
    </w:p>
    <w:p>
      <w:pPr>
        <w:widowControl/>
      </w:pPr>
      <w:r>
        <w:rPr>
          <w:rFonts w:ascii="Arial" w:hAnsi="Arial" w:eastAsia="Arial"/>
          <w:b w:val="0"/>
          <w:color w:val="111111"/>
          <w:sz w:val="22"/>
        </w:rPr>
        <w:t>The review endpoint analyzes up to 50 submitted records chosen from the server-authorized review lane. It loads records itself rather than trusting client-sent descriptions, excludes self-review, and limits input to fields needed for the task. The model returns structured recommendations: approve, reject, or needs review, each with a reason. The route rejects unknown or duplicate IDs, rechecks current permissions and row visibility, and compares the latest full record snapshot before returning advice. A changed entry produces a conflict instead of a stale recommendation. No review mutation happens in this endpoint.</w:t>
      </w:r>
    </w:p>
    <w:p>
      <w:pPr>
        <w:widowControl/>
      </w:pPr>
      <w:r>
        <w:rPr>
          <w:rFonts w:ascii="Arial" w:hAnsi="Arial" w:eastAsia="Arial"/>
          <w:b w:val="0"/>
          <w:color w:val="111111"/>
          <w:sz w:val="22"/>
        </w:rPr>
        <w:t>Personal submission preparation uses a distinct route (POST /api/entries/prepare-submission). It is for the actor’s own records and can suggest cleanup or organize information; it does not submit entries. Personal ownership, configured date range, revision, and selection size are checked. The user reviews changes and confirms normal entry operations. Partial success should be followed by a reload before retrying to avoid duplicate or stale work.</w:t>
      </w:r>
    </w:p>
    <w:p>
      <w:pPr>
        <w:widowControl/>
      </w:pPr>
      <w:r>
        <w:rPr>
          <w:rFonts w:ascii="Arial" w:hAnsi="Arial" w:eastAsia="Arial"/>
          <w:b w:val="0"/>
          <w:color w:val="111111"/>
          <w:sz w:val="22"/>
        </w:rPr>
        <w:t>Account review has its own model workflow and permissions. A manager’s operational review and an account manager’s manager-timesheet review are not interchangeable. Each workflow has an independent model setting in lib/ai-models.ts, which enables cost and quality tuning without changing the command interface. maxRetries: 0, bounded output, and request timeouts reduce runaway calls.</w:t>
      </w:r>
    </w:p>
    <w:p>
      <w:pPr>
        <w:widowControl/>
      </w:pPr>
      <w:r>
        <w:rPr>
          <w:rFonts w:ascii="Arial" w:hAnsi="Arial" w:eastAsia="Arial"/>
          <w:b w:val="0"/>
          <w:color w:val="111111"/>
          <w:sz w:val="22"/>
        </w:rPr>
        <w:t>Evaluation should compare recommendations with human decisions, track disagreement and missing evidence, and test prompt-injection text embedded in descriptions. Do not treat model “approved” as verified work. The assistant must remain unavailable or show a useful error if provider credentials, routing, schema validation, or model selection fails; it must never silently claim a successful action.</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AI recommendation is not an approval, a submission, a payroll instruction, or a substitute for a human review record.</w:t>
      </w:r>
    </w:p>
    <w:p>
      <w:r>
        <w:br w:type="page"/>
      </w:r>
    </w:p>
    <w:p>
      <w:pPr>
        <w:pStyle w:val="Heading1"/>
        <w:keepNext/>
      </w:pPr>
      <w:r>
        <w:rPr>
          <w:rFonts w:ascii="Arial" w:hAnsi="Arial" w:eastAsia="Arial"/>
          <w:b w:val="0"/>
          <w:color w:val="111111"/>
          <w:sz w:val="37"/>
        </w:rPr>
        <w:t>15  External API and integration boundary</w:t>
      </w:r>
    </w:p>
    <w:p>
      <w:pPr>
        <w:keepNext/>
        <w:spacing w:after="180"/>
      </w:pPr>
      <w:r>
        <w:rPr>
          <w:rFonts w:ascii="Arial" w:hAnsi="Arial" w:eastAsia="Arial"/>
          <w:b w:val="0"/>
          <w:color w:val="000000"/>
          <w:sz w:val="21"/>
        </w:rPr>
        <w:t>External calls are prepared through a constrained client, but integrations are not yet connected end to end.</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Business route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named integration operation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provider allowlist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bounded HTTPS request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sanitized result or diagnostic</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Business route → named integration operation → provider allowlist → bounded HTTPS request → sanitized result or diagnostic</w:t>
      </w:r>
    </w:p>
    <w:p>
      <w:pPr>
        <w:widowControl/>
      </w:pPr>
      <w:r>
        <w:rPr>
          <w:rFonts w:ascii="Arial" w:hAnsi="Arial" w:eastAsia="Arial"/>
          <w:b w:val="0"/>
          <w:color w:val="111111"/>
          <w:sz w:val="22"/>
        </w:rPr>
        <w:t>lib/integrations/http.ts centralizes outbound HTTP calls. The provider map currently allowlists Microsoft Graph at https://graph.microsoft.com with API root /v1.0. Callers use a provider key, operation name, relative path, method, optional query/body, and a server-held access token. Validation rejects path traversal, protocol-relative URLs, backslashes, embedded query strings, and bodies on GET or DELETE. Destination origin is checked again after URL construction. Redirects are rejected and timeout is bounded between one and thirty seconds.</w:t>
      </w:r>
    </w:p>
    <w:p>
      <w:pPr>
        <w:widowControl/>
      </w:pPr>
      <w:r>
        <w:rPr>
          <w:rFonts w:ascii="Arial" w:hAnsi="Arial" w:eastAsia="Arial"/>
          <w:b w:val="0"/>
          <w:color w:val="111111"/>
          <w:sz w:val="22"/>
        </w:rPr>
        <w:t>The helper does not retry automatically, especially because replaying a non-idempotent POST or PATCH can duplicate effects. On network or timeout failure it returns a typed IntegrationApiError with provider, operation, method, relative path, HTTP status, safe upstream code, and a filtered request ID. It intentionally omits response bodies and credentials. This supports the dedicated API error collector while limiting sensitive data.</w:t>
      </w:r>
    </w:p>
    <w:p>
      <w:pPr>
        <w:widowControl/>
      </w:pPr>
      <w:r>
        <w:rPr>
          <w:rFonts w:ascii="Arial" w:hAnsi="Arial" w:eastAsia="Arial"/>
          <w:b w:val="0"/>
          <w:color w:val="111111"/>
          <w:sz w:val="22"/>
        </w:rPr>
        <w:t>No Microsoft Graph business integration is currently implemented merely because the helper exists. A provider operation still needs consent scopes, token acquisition, endpoint-specific schemas, rate limiting, idempotency rules, audit mapping, data minimization, and integration tests. The same architecture can later support payroll, project management, or accounting providers by adding narrowly allowlisted operations rather than arbitrary URL forwarding.</w:t>
      </w:r>
    </w:p>
    <w:p>
      <w:pPr>
        <w:widowControl/>
      </w:pPr>
      <w:r>
        <w:rPr>
          <w:rFonts w:ascii="Arial" w:hAnsi="Arial" w:eastAsia="Arial"/>
          <w:b w:val="0"/>
          <w:color w:val="111111"/>
          <w:sz w:val="22"/>
        </w:rPr>
        <w:t>For each integration, define the system of record, direction of sync, conflict policy, webhook authenticity, retry/dead-letter handling, and user-visible reconciliation status. External API failures must never produce a false “saved” state in Tanovo Time.</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The API client is groundwork. Do not document a live Graph, payroll, or accounting synchronization until its token flow and operation have been implemented and tested.</w:t>
      </w:r>
    </w:p>
    <w:p>
      <w:r>
        <w:br w:type="page"/>
      </w:r>
    </w:p>
    <w:p>
      <w:pPr>
        <w:pStyle w:val="Heading1"/>
        <w:keepNext/>
      </w:pPr>
      <w:r>
        <w:rPr>
          <w:rFonts w:ascii="Arial" w:hAnsi="Arial" w:eastAsia="Arial"/>
          <w:b w:val="0"/>
          <w:color w:val="111111"/>
          <w:sz w:val="37"/>
        </w:rPr>
        <w:t>16  API diagnostics and issue collection</w:t>
      </w:r>
    </w:p>
    <w:p>
      <w:pPr>
        <w:keepNext/>
        <w:spacing w:after="180"/>
      </w:pPr>
      <w:r>
        <w:rPr>
          <w:rFonts w:ascii="Arial" w:hAnsi="Arial" w:eastAsia="Arial"/>
          <w:b w:val="0"/>
          <w:color w:val="000000"/>
          <w:sz w:val="21"/>
        </w:rPr>
        <w:t>Diagnostics should identify the failing call without capturing secrets or business content.</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Client/server event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correlation ID</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route and status normalization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redaction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Client/server event → correlation ID → route and status normalization → redaction → protected issue store → admin investigation → verified repair</w:t>
      </w:r>
    </w:p>
    <w:p>
      <w:pPr>
        <w:widowControl/>
      </w:pPr>
      <w:r>
        <w:rPr>
          <w:rFonts w:ascii="Arial" w:hAnsi="Arial" w:eastAsia="Arial"/>
          <w:b w:val="0"/>
          <w:color w:val="111111"/>
          <w:sz w:val="22"/>
        </w:rPr>
        <w:t>The application has several diagnostic sources: server route logs, structured persistence diagnostics, client error reports, issue records, AI run telemetry, integration errors, and platform deployment logs. They answer different questions and should not be collapsed into one raw log dump. The dedicated API error collector should present method, normalized route, status code, safe error code, request/correlation ID, stage, timestamp, and deployment/environment. It can link a client-reported failure to a server record using a correlation key.</w:t>
      </w:r>
    </w:p>
    <w:p>
      <w:pPr>
        <w:widowControl/>
      </w:pPr>
      <w:r>
        <w:rPr>
          <w:rFonts w:ascii="Arial" w:hAnsi="Arial" w:eastAsia="Arial"/>
          <w:b w:val="0"/>
          <w:color w:val="111111"/>
          <w:sz w:val="22"/>
        </w:rPr>
        <w:t>persistence-diagnostics.ts extracts safe database error details such as code, category, and operation context without returning query parameters or credentials. AI route failure logs include a bounded stage, error name/code, and status; the client receives a generic unavailable message. Integration diagnostics explicitly omit bearer tokens and response bodies. Audit metadata is for business changes, not a substitute for operational stack traces.</w:t>
      </w:r>
    </w:p>
    <w:p>
      <w:pPr>
        <w:widowControl/>
      </w:pPr>
      <w:r>
        <w:rPr>
          <w:rFonts w:ascii="Arial" w:hAnsi="Arial" w:eastAsia="Arial"/>
          <w:b w:val="0"/>
          <w:color w:val="111111"/>
          <w:sz w:val="22"/>
        </w:rPr>
        <w:t>Client reports are untrusted. Validate size and schema, rate-limit submissions, redact tokens and personal data, and prevent stored messages from becoming executable instructions in an AI repair workflow. Admin issue triage can group similar failures and record repair notes, but repairs need a human operator and a separately authorized change.</w:t>
      </w:r>
    </w:p>
    <w:p>
      <w:pPr>
        <w:widowControl/>
      </w:pPr>
      <w:r>
        <w:rPr>
          <w:rFonts w:ascii="Arial" w:hAnsi="Arial" w:eastAsia="Arial"/>
          <w:b w:val="0"/>
          <w:color w:val="111111"/>
          <w:sz w:val="22"/>
        </w:rPr>
        <w:t>Useful dimensions include route, method, deployment, environment, request ID, database code, and normalized failure class. Alert on increases in 5xx rates, authentication callback failures, database connection errors, queue backlogs, and repeated AI provider timeouts. Retention and access to diagnostic detail should be limited because routes and records can still reveal sensitive activity even when bodies are removed.</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A 404 or 503 is a symptom, not a diagnosis. Compare exact callback path, deployment logs, database code, and request ID before changing auth or permissions.</w:t>
      </w:r>
    </w:p>
    <w:p>
      <w:r>
        <w:br w:type="page"/>
      </w:r>
    </w:p>
    <w:p>
      <w:pPr>
        <w:pStyle w:val="Heading1"/>
        <w:keepNext/>
      </w:pPr>
      <w:r>
        <w:rPr>
          <w:rFonts w:ascii="Arial" w:hAnsi="Arial" w:eastAsia="Arial"/>
          <w:b w:val="0"/>
          <w:color w:val="111111"/>
          <w:sz w:val="37"/>
        </w:rPr>
        <w:t>17  Database persistence and schema</w:t>
      </w:r>
    </w:p>
    <w:p>
      <w:pPr>
        <w:keepNext/>
        <w:spacing w:after="180"/>
      </w:pPr>
      <w:r>
        <w:rPr>
          <w:rFonts w:ascii="Arial" w:hAnsi="Arial" w:eastAsia="Arial"/>
          <w:b w:val="0"/>
          <w:color w:val="000000"/>
          <w:sz w:val="21"/>
        </w:rPr>
        <w:t>Neon Postgres is the source of durable application state in the current deployment.</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Route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domain helper</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SQL operation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constraint and revision check</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Route → domain helper → SQL operation → constraint and revision check → transaction → durable response</w:t>
      </w:r>
    </w:p>
    <w:p>
      <w:pPr>
        <w:widowControl/>
      </w:pPr>
      <w:r>
        <w:rPr>
          <w:rFonts w:ascii="Arial" w:hAnsi="Arial" w:eastAsia="Arial"/>
          <w:b w:val="0"/>
          <w:color w:val="111111"/>
          <w:sz w:val="22"/>
        </w:rPr>
        <w:t>The application uses @neondatabase/serverless in server modules such as lib/db.ts, session storage, messaging, assistant security, lifecycle, audit, and issue stores. SQL is parameterized through tagged templates. Helpers group domain operations and use transactions or common table expressions where consistency between a business mutation and audit event matters. Revision numbers and conditional updates protect against stale writes. Indexes support owner, actor, and lookup paths.</w:t>
      </w:r>
    </w:p>
    <w:p>
      <w:pPr>
        <w:widowControl/>
      </w:pPr>
      <w:r>
        <w:rPr>
          <w:rFonts w:ascii="Arial" w:hAnsi="Arial" w:eastAsia="Arial"/>
          <w:b w:val="0"/>
          <w:color w:val="111111"/>
          <w:sz w:val="22"/>
        </w:rPr>
        <w:t>Some modules initialize tables lazily with CREATE TABLE IF NOT EXISTS and additive ALTER TABLE ... ADD COLUMN IF NOT EXISTS. lib/database-initializer.ts shares one in-flight initialization per process and clears a rejected promise so a later request can retry. This reduces duplicate DDL under concurrent requests, but it is not a substitute for a versioned migration system. Serverless instances can each initialize, runtime credentials may need schema privileges, and a partial schema rollout can complicate recovery.</w:t>
      </w:r>
    </w:p>
    <w:p>
      <w:pPr>
        <w:widowControl/>
      </w:pPr>
      <w:r>
        <w:rPr>
          <w:rFonts w:ascii="Arial" w:hAnsi="Arial" w:eastAsia="Arial"/>
          <w:b w:val="0"/>
          <w:color w:val="111111"/>
          <w:sz w:val="22"/>
        </w:rPr>
        <w:t>The current database management documentation records a prior authorized reset of the application tables while preserving schemas and indexes. That record is historical; runtime activity can repopulate the database, and it does not imply that future databases are empty. The app must never reset business data automatically on start or deploy. Database reset requires explicit environment, backup, retention, and authorization review.</w:t>
      </w:r>
    </w:p>
    <w:p>
      <w:pPr>
        <w:widowControl/>
      </w:pPr>
      <w:r>
        <w:rPr>
          <w:rFonts w:ascii="Arial" w:hAnsi="Arial" w:eastAsia="Arial"/>
          <w:b w:val="0"/>
          <w:color w:val="111111"/>
          <w:sz w:val="22"/>
        </w:rPr>
        <w:t>Next priorities are checksum-verified migrations, a dedicated migration credential, least-privilege runtime role, migration lock strategy, query-plan review, cursor pagination, integration tests against Postgres, and tested backup/restore. Production tables must not be manipulated by local development scripts without confirming the exact connection target.</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Lazy schema setup is implemented; a formal migration and restore operating model remains planned. Never treat application startup as a data-reset mechanism.</w:t>
      </w:r>
    </w:p>
    <w:p>
      <w:r>
        <w:br w:type="page"/>
      </w:r>
    </w:p>
    <w:p>
      <w:pPr>
        <w:pStyle w:val="Heading1"/>
        <w:keepNext/>
      </w:pPr>
      <w:r>
        <w:rPr>
          <w:rFonts w:ascii="Arial" w:hAnsi="Arial" w:eastAsia="Arial"/>
          <w:b w:val="0"/>
          <w:color w:val="111111"/>
          <w:sz w:val="37"/>
        </w:rPr>
        <w:t>18  Caching, pagination, and scrolling</w:t>
      </w:r>
    </w:p>
    <w:p>
      <w:pPr>
        <w:keepNext/>
        <w:spacing w:after="180"/>
      </w:pPr>
      <w:r>
        <w:rPr>
          <w:rFonts w:ascii="Arial" w:hAnsi="Arial" w:eastAsia="Arial"/>
          <w:b w:val="0"/>
          <w:color w:val="000000"/>
          <w:sz w:val="21"/>
        </w:rPr>
        <w:t>Scrolling behavior is part of data correctness because hidden rows can look like missing records.</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Query and permission scope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bounded page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stable cursor</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scroll container</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visible total and refresh after mutation</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Query and permission scope → bounded page → stable cursor → scroll container → visible total and refresh after mutation</w:t>
      </w:r>
    </w:p>
    <w:p>
      <w:pPr>
        <w:widowControl/>
      </w:pPr>
      <w:r>
        <w:rPr>
          <w:rFonts w:ascii="Arial" w:hAnsi="Arial" w:eastAsia="Arial"/>
          <w:b w:val="0"/>
          <w:color w:val="111111"/>
          <w:sz w:val="22"/>
        </w:rPr>
        <w:t>The main workspace combines full-page scrolling, constrained panes, data tables, and modals. The expected behavior from the product changes is that a content region should expand until the available window height is used, then scroll within the intended boundary. The application footer or end-of-window marker should remain static where specified. Right-side scrollbars must remain visible when a list is constrained. A nested panel should not trap the wheel unless that panel is the active list.</w:t>
      </w:r>
    </w:p>
    <w:p>
      <w:pPr>
        <w:widowControl/>
      </w:pPr>
      <w:r>
        <w:rPr>
          <w:rFonts w:ascii="Arial" w:hAnsi="Arial" w:eastAsia="Arial"/>
          <w:b w:val="0"/>
          <w:color w:val="111111"/>
          <w:sz w:val="22"/>
        </w:rPr>
        <w:t>The client data cache in lib/client-data-cache.ts supports request deduplication and explicit invalidation. Mutations, permission events, period changes, and relevant navigation need to invalidate or refresh stale data. Otherwise, the interface can show an old status or wrong item count even though the API correctly committed a change. Role changes propagate through same-browser events/BroadcastChannel and polling in other sessions, but a mutation route always resolves current rights server-side.</w:t>
      </w:r>
    </w:p>
    <w:p>
      <w:pPr>
        <w:widowControl/>
      </w:pPr>
      <w:r>
        <w:rPr>
          <w:rFonts w:ascii="Arial" w:hAnsi="Arial" w:eastAsia="Arial"/>
          <w:b w:val="0"/>
          <w:color w:val="111111"/>
          <w:sz w:val="22"/>
        </w:rPr>
        <w:t>Many list views currently load bounded slices or complete arrays; the assistant specifically caps context at 100 entries and review caps a request at 50. Such limits must be shown honestly. Do not label a partial result as a total. Long-term, cursor pagination should use a stable compound sort key, preserve filters in the cursor, and avoid offset drift as rows change.</w:t>
      </w:r>
    </w:p>
    <w:p>
      <w:pPr>
        <w:widowControl/>
      </w:pPr>
      <w:r>
        <w:rPr>
          <w:rFonts w:ascii="Arial" w:hAnsi="Arial" w:eastAsia="Arial"/>
          <w:b w:val="0"/>
          <w:color w:val="111111"/>
          <w:sz w:val="22"/>
        </w:rPr>
        <w:t>Layout regression tests should cover viewport heights, zoom, long lists, nested panels, dialogs near screen edges, and wheel/touch scrolling. Browser tests should assert that every eligible row can be reached, the last row is not obscured by fixed controls, and returning from a dialog preserves the intended position.</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A UI cap, scroll container, and database page size are separate concerns. Explicitly indicate whether the displayed count is total or current-page count.</w:t>
      </w:r>
    </w:p>
    <w:p>
      <w:r>
        <w:br w:type="page"/>
      </w:r>
    </w:p>
    <w:p>
      <w:pPr>
        <w:pStyle w:val="Heading1"/>
        <w:keepNext/>
      </w:pPr>
      <w:r>
        <w:rPr>
          <w:rFonts w:ascii="Arial" w:hAnsi="Arial" w:eastAsia="Arial"/>
          <w:b w:val="0"/>
          <w:color w:val="111111"/>
          <w:sz w:val="37"/>
        </w:rPr>
        <w:t>19  Build, test, and release</w:t>
      </w:r>
    </w:p>
    <w:p>
      <w:pPr>
        <w:keepNext/>
        <w:spacing w:after="180"/>
      </w:pPr>
      <w:r>
        <w:rPr>
          <w:rFonts w:ascii="Arial" w:hAnsi="Arial" w:eastAsia="Arial"/>
          <w:b w:val="0"/>
          <w:color w:val="000000"/>
          <w:sz w:val="21"/>
        </w:rPr>
        <w:t>A change is ready only when type checks, behavior tests, and production compilation agree.</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Change review</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pnpm verify</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branch push</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deployment build</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Change review → pnpm verify → branch push → deployment build → environment smoke test → monitor and roll back if needed</w:t>
      </w:r>
    </w:p>
    <w:p>
      <w:pPr>
        <w:widowControl/>
      </w:pPr>
      <w:r>
        <w:rPr>
          <w:rFonts w:ascii="Arial" w:hAnsi="Arial" w:eastAsia="Arial"/>
          <w:b w:val="0"/>
          <w:color w:val="111111"/>
          <w:sz w:val="22"/>
        </w:rPr>
        <w:t>The repository uses pnpm and has a pnpm verify gate covering TypeScript, Vitest suites, and a Next.js production build. The recent Development release passed type checking, all 551 tests across 112 files, and next build. Some long integration-oriented tests have explicit timeouts to account for parallel test load; a focused test should still be run in isolation when debugging a flaky suite.</w:t>
      </w:r>
    </w:p>
    <w:p>
      <w:pPr>
        <w:widowControl/>
      </w:pPr>
      <w:r>
        <w:rPr>
          <w:rFonts w:ascii="Arial" w:hAnsi="Arial" w:eastAsia="Arial"/>
          <w:b w:val="0"/>
          <w:color w:val="111111"/>
          <w:sz w:val="22"/>
        </w:rPr>
        <w:t>Route tests mock identity and persistence boundaries to verify status codes, authorization, schemas, and failure behavior. Component tests cover workspace interactions and accessibility hooks. End-to-end tests use distinct accounts and browser profiles for each of the five roles. Mock success does not prove Microsoft Entra, Neon, AI Gateway, or external provider configuration; those require deployment-level acceptance tests.</w:t>
      </w:r>
    </w:p>
    <w:p>
      <w:pPr>
        <w:widowControl/>
      </w:pPr>
      <w:r>
        <w:rPr>
          <w:rFonts w:ascii="Arial" w:hAnsi="Arial" w:eastAsia="Arial"/>
          <w:b w:val="0"/>
          <w:color w:val="111111"/>
          <w:sz w:val="22"/>
        </w:rPr>
        <w:t>Development is the current release branch. The accumulated changes were pushed to Development at commit f056019 after verification. Do not infer that production was deployed or that a preview provider is correctly configured from a successful local build. Deployment logs, environment-specific secrets, migrations, callback allowlists, and real identity flows must be checked independently.</w:t>
      </w:r>
    </w:p>
    <w:p>
      <w:pPr>
        <w:widowControl/>
      </w:pPr>
      <w:r>
        <w:rPr>
          <w:rFonts w:ascii="Arial" w:hAnsi="Arial" w:eastAsia="Arial"/>
          <w:b w:val="0"/>
          <w:color w:val="111111"/>
          <w:sz w:val="22"/>
        </w:rPr>
        <w:t>For a production change, identify the exact commits, run all gates, inspect the diff, confirm branch protection and deployment target, then verify the deployed version with a smoke test. If a request may have committed but the UI failed, fetch the record and audit trail before replaying a non-idempotent operation. Keep customer data and deployment credentials out of test artifacts.</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The Development push is verified. Production deployment, real provider credentials, and external integration acceptance are separate release steps.</w:t>
      </w:r>
    </w:p>
    <w:p>
      <w:r>
        <w:br w:type="page"/>
      </w:r>
    </w:p>
    <w:p>
      <w:pPr>
        <w:pStyle w:val="Heading1"/>
        <w:keepNext/>
      </w:pPr>
      <w:r>
        <w:rPr>
          <w:rFonts w:ascii="Arial" w:hAnsi="Arial" w:eastAsia="Arial"/>
          <w:b w:val="0"/>
          <w:color w:val="111111"/>
          <w:sz w:val="37"/>
        </w:rPr>
        <w:t>20  Deployment and configuration</w:t>
      </w:r>
    </w:p>
    <w:p>
      <w:pPr>
        <w:keepNext/>
        <w:spacing w:after="180"/>
      </w:pPr>
      <w:r>
        <w:rPr>
          <w:rFonts w:ascii="Arial" w:hAnsi="Arial" w:eastAsia="Arial"/>
          <w:b w:val="0"/>
          <w:color w:val="000000"/>
          <w:sz w:val="21"/>
        </w:rPr>
        <w:t>Environment configuration selects identity, database, model routing, and public URL behavior.</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Source commit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environment build</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validated config</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identity/database/provider connections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Source commit → environment build → validated config → identity/database/provider connections → smoke tests → monitored release</w:t>
      </w:r>
    </w:p>
    <w:p>
      <w:pPr>
        <w:widowControl/>
      </w:pPr>
      <w:r>
        <w:rPr>
          <w:rFonts w:ascii="Arial" w:hAnsi="Arial" w:eastAsia="Arial"/>
          <w:b w:val="0"/>
          <w:color w:val="111111"/>
          <w:sz w:val="22"/>
        </w:rPr>
        <w:t>The app’s deployment behavior depends on public URL/base path, Microsoft Entra configuration, Neon database URL, allowed admin identities, company display settings, and AI model/provider settings. Secrets belong in the deployment platform’s encrypted environment store, not in source, documentation, or client bundles. The app has a /tanovo-time base path, and redirects normalize duplicated prefixes and move the site root to the application path. Auth callback URIs must exactly match the deployed scheme, host, and callback path.</w:t>
      </w:r>
    </w:p>
    <w:p>
      <w:pPr>
        <w:widowControl/>
      </w:pPr>
      <w:r>
        <w:rPr>
          <w:rFonts w:ascii="Arial" w:hAnsi="Arial" w:eastAsia="Arial"/>
          <w:b w:val="0"/>
          <w:color w:val="111111"/>
          <w:sz w:val="22"/>
        </w:rPr>
        <w:t>Vercel preview and production are distinct environments with potentially different environment variables and databases. A working local login does not prove a preview callback, and a preview API failure does not prove production is affected. Inspect deployment-specific logs using the timestamp and request ID. Check that AUTH_MICROSOFT_ENTRA_ID_ID, secret, issuer, database URL, and any AI_GATEWAY_API_KEY or supported OIDC credential are present in the target environment. Never print their values.</w:t>
      </w:r>
    </w:p>
    <w:p>
      <w:pPr>
        <w:widowControl/>
      </w:pPr>
      <w:r>
        <w:rPr>
          <w:rFonts w:ascii="Arial" w:hAnsi="Arial" w:eastAsia="Arial"/>
          <w:b w:val="0"/>
          <w:color w:val="111111"/>
          <w:sz w:val="22"/>
        </w:rPr>
        <w:t>lib/ai-models.ts allows each AI workflow to select a provider/model ID through a dedicated environment variable while retaining a default. This does not guarantee that the provider is enabled or that billing and data-retention settings are configured. For AI Gateway adoption, centralize routing, restrict model allowlists, set budgets/alerts, and test provider fallback behavior without retrying mutations.</w:t>
      </w:r>
    </w:p>
    <w:p>
      <w:pPr>
        <w:widowControl/>
      </w:pPr>
      <w:r>
        <w:rPr>
          <w:rFonts w:ascii="Arial" w:hAnsi="Arial" w:eastAsia="Arial"/>
          <w:b w:val="0"/>
          <w:color w:val="111111"/>
          <w:sz w:val="22"/>
        </w:rPr>
        <w:t>For reliable deployments, separate migration credentials from runtime credentials, test schema compatibility before release, track deployment SHA in diagnostics, and use a rollback path that does not require reversing destructive data changes. Environment-specific reset and seed commands should require explicit target confirmation.</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Environment variable presence is not proof of correctness. Validate callback behavior, database connectivity, AI routing, and access control against each deployment separately.</w:t>
      </w:r>
    </w:p>
    <w:p>
      <w:r>
        <w:br w:type="page"/>
      </w:r>
    </w:p>
    <w:p>
      <w:pPr>
        <w:pStyle w:val="Heading1"/>
        <w:keepNext/>
      </w:pPr>
      <w:r>
        <w:rPr>
          <w:rFonts w:ascii="Arial" w:hAnsi="Arial" w:eastAsia="Arial"/>
          <w:b w:val="0"/>
          <w:color w:val="111111"/>
          <w:sz w:val="37"/>
        </w:rPr>
        <w:t>21  Security, privacy, and threat boundaries</w:t>
      </w:r>
    </w:p>
    <w:p>
      <w:pPr>
        <w:keepNext/>
        <w:spacing w:after="180"/>
      </w:pPr>
      <w:r>
        <w:rPr>
          <w:rFonts w:ascii="Arial" w:hAnsi="Arial" w:eastAsia="Arial"/>
          <w:b w:val="0"/>
          <w:color w:val="000000"/>
          <w:sz w:val="21"/>
        </w:rPr>
        <w:t>The system minimizes what each route, model call, log, and recipient can see.</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Untrusted input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schema and size limits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authenticated actor</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scoped data</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Untrusted input → schema and size limits → authenticated actor → scoped data → minimal processing → authorized output → retained evidence under policy</w:t>
      </w:r>
    </w:p>
    <w:p>
      <w:pPr>
        <w:widowControl/>
      </w:pPr>
      <w:r>
        <w:rPr>
          <w:rFonts w:ascii="Arial" w:hAnsi="Arial" w:eastAsia="Arial"/>
          <w:b w:val="0"/>
          <w:color w:val="111111"/>
          <w:sz w:val="22"/>
        </w:rPr>
        <w:t>Security controls operate at multiple layers: Entra identity, revocable app sessions, live role resolution, row ownership, assigned reviewer scope, strict request schemas, parameterized SQL, concurrency revisions, audit events, and browser-side message encryption. The interface should never be treated as the enforcement layer. App response headers set content type protections, frame denial, referrer policy, permissions policy, and HSTS. API paths are same-origin and provider requests are allowlisted.</w:t>
      </w:r>
    </w:p>
    <w:p>
      <w:pPr>
        <w:widowControl/>
      </w:pPr>
      <w:r>
        <w:rPr>
          <w:rFonts w:ascii="Arial" w:hAnsi="Arial" w:eastAsia="Arial"/>
          <w:b w:val="0"/>
          <w:color w:val="111111"/>
          <w:sz w:val="22"/>
        </w:rPr>
        <w:t>Threat inputs include crafted time-entry descriptions, user messages, imported data, client error reports, stale action tokens, guessed record IDs, and callback parameters. AI treats these as untrusted data, uses bounded context, structured output, action signatures, human confirmation, and permission rechecks. Message content is encrypted to participants; operational logs should omit plaintext and key material.</w:t>
      </w:r>
    </w:p>
    <w:p>
      <w:pPr>
        <w:widowControl/>
      </w:pPr>
      <w:r>
        <w:rPr>
          <w:rFonts w:ascii="Arial" w:hAnsi="Arial" w:eastAsia="Arial"/>
          <w:b w:val="0"/>
          <w:color w:val="111111"/>
          <w:sz w:val="22"/>
        </w:rPr>
        <w:t>Privacy review should inventory every persistent copy: entry row, audit metadata, issue report, assistant conversation, assistant telemetry, encrypted message envelope, export, backups, and deployment logs. Set retention by data purpose and restrict export/report access. The stored AI conversation is still personal data even if it is not a business source record.</w:t>
      </w:r>
    </w:p>
    <w:p>
      <w:pPr>
        <w:widowControl/>
      </w:pPr>
      <w:r>
        <w:rPr>
          <w:rFonts w:ascii="Arial" w:hAnsi="Arial" w:eastAsia="Arial"/>
          <w:b w:val="0"/>
          <w:color w:val="111111"/>
          <w:sz w:val="22"/>
        </w:rPr>
        <w:t>For a multi-company service, add tenant identity to all authorization contexts, database predicates, uniqueness constraints, audit rows, cache keys, background tasks, AI data, exports, and integration tokens. A missing tenant predicate is a cross-customer disclosure risk. Add database row-level security only as defense in depth, with a non-owner runtime role and tests proving tenant isolation.</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Current app boundaries protect one company per deployment. Shared-database tenant isolation is future work and requires comprehensive tests before onboarding multiple companies.</w:t>
      </w:r>
    </w:p>
    <w:p>
      <w:r>
        <w:br w:type="page"/>
      </w:r>
    </w:p>
    <w:p>
      <w:pPr>
        <w:pStyle w:val="Heading1"/>
        <w:keepNext/>
      </w:pPr>
      <w:r>
        <w:rPr>
          <w:rFonts w:ascii="Arial" w:hAnsi="Arial" w:eastAsia="Arial"/>
          <w:b w:val="0"/>
          <w:color w:val="111111"/>
          <w:sz w:val="37"/>
        </w:rPr>
        <w:t>22  SaaS tenancy and company onboarding</w:t>
      </w:r>
    </w:p>
    <w:p>
      <w:pPr>
        <w:keepNext/>
        <w:spacing w:after="180"/>
      </w:pPr>
      <w:r>
        <w:rPr>
          <w:rFonts w:ascii="Arial" w:hAnsi="Arial" w:eastAsia="Arial"/>
          <w:b w:val="0"/>
          <w:color w:val="000000"/>
          <w:sz w:val="21"/>
        </w:rPr>
        <w:t>The safest first licensing step is isolated deployment stamps, not an untested shared database.</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Company request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identity and domain review</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Entra consent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isolated database provisioning</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Company request → identity and domain review → Entra consent → isolated database provisioning → admin bootstrap → isolation tests → active license</w:t>
      </w:r>
    </w:p>
    <w:p>
      <w:pPr>
        <w:widowControl/>
      </w:pPr>
      <w:r>
        <w:rPr>
          <w:rFonts w:ascii="Arial" w:hAnsi="Arial" w:eastAsia="Arial"/>
          <w:b w:val="0"/>
          <w:color w:val="111111"/>
          <w:sz w:val="22"/>
        </w:rPr>
        <w:t>The repository’s tenancy document states that the current deployment serves one licensed company, bound by deployment configuration such as COMPANY_CODE and COMPANY_NAME. Operational records are not consistently keyed by company_id; therefore the current database is not a safe shared multi-company store. A company code is not an authorization boundary.</w:t>
      </w:r>
    </w:p>
    <w:p>
      <w:pPr>
        <w:widowControl/>
      </w:pPr>
      <w:r>
        <w:rPr>
          <w:rFonts w:ascii="Arial" w:hAnsi="Arial" w:eastAsia="Arial"/>
          <w:b w:val="0"/>
          <w:color w:val="111111"/>
          <w:sz w:val="22"/>
        </w:rPr>
        <w:t>The recommended first SaaS release is one production database and configuration stamp per company, with shared application source and a separate platform control plane. Customer onboarding should move through requested, verified, provisioning, active, suspended, and retired states. A verified domain is evidence of domain control, not legal authority by itself. Microsoft Entra tenant ID is bound only after authorized admin consent and signed-token validation. The first company administrator is provisioned through a controlled invitation flow.</w:t>
      </w:r>
    </w:p>
    <w:p>
      <w:pPr>
        <w:widowControl/>
      </w:pPr>
      <w:r>
        <w:rPr>
          <w:rFonts w:ascii="Arial" w:hAnsi="Arial" w:eastAsia="Arial"/>
          <w:b w:val="0"/>
          <w:color w:val="111111"/>
          <w:sz w:val="22"/>
        </w:rPr>
        <w:t>A later shared database requires immutable company IDs, company-scoped membership, compound uniqueness constraints, scoped queries and joins, tenant-filtered caches, tenant-bound exports, and strict isolation for messages, AI context, audit, and integrations. PostgreSQL row-level security can provide defense in depth, but application predicates remain necessary and the runtime role must not bypass policies. Every route family needs cross-tenant read, update, delete, search, and guessed-ID tests.</w:t>
      </w:r>
    </w:p>
    <w:p>
      <w:pPr>
        <w:widowControl/>
      </w:pPr>
      <w:r>
        <w:rPr>
          <w:rFonts w:ascii="Arial" w:hAnsi="Arial" w:eastAsia="Arial"/>
          <w:b w:val="0"/>
          <w:color w:val="111111"/>
          <w:sz w:val="22"/>
        </w:rPr>
        <w:t>Billing and license state belong in the platform control plane, separated from customer operational data. Subscription changes should drive explicit capability policy and lifecycle transitions, not mutable client flags. Provisioning, migration, backup, restore, support access, data residency, retention, and customer deletion must be designed before enabling paid multi-company signup.</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Multi-tenant SaaS onboarding is not implemented in this app. Keep one company per deployment until tenant isolation and provisioning are complete.</w:t>
      </w:r>
    </w:p>
    <w:p>
      <w:r>
        <w:br w:type="page"/>
      </w:r>
    </w:p>
    <w:p>
      <w:pPr>
        <w:pStyle w:val="Heading1"/>
        <w:keepNext/>
      </w:pPr>
      <w:r>
        <w:rPr>
          <w:rFonts w:ascii="Arial" w:hAnsi="Arial" w:eastAsia="Arial"/>
          <w:b w:val="0"/>
          <w:color w:val="111111"/>
          <w:sz w:val="37"/>
        </w:rPr>
        <w:t>23  Backup, restore, and data lifecycle</w:t>
      </w:r>
    </w:p>
    <w:p>
      <w:pPr>
        <w:keepNext/>
        <w:spacing w:after="180"/>
      </w:pPr>
      <w:r>
        <w:rPr>
          <w:rFonts w:ascii="Arial" w:hAnsi="Arial" w:eastAsia="Arial"/>
          <w:b w:val="0"/>
          <w:color w:val="000000"/>
          <w:sz w:val="21"/>
        </w:rPr>
        <w:t>Availability is not recovery; a backup is useful only when restoration is tested.</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Scheduled backup</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isolated restore drill</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integrity and access reconciliation</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approved recovery point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controlled service restoration</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Scheduled backup → isolated restore drill → integrity and access reconciliation → approved recovery point → controlled service restoration</w:t>
      </w:r>
    </w:p>
    <w:p>
      <w:pPr>
        <w:widowControl/>
      </w:pPr>
      <w:r>
        <w:rPr>
          <w:rFonts w:ascii="Arial" w:hAnsi="Arial" w:eastAsia="Arial"/>
          <w:b w:val="0"/>
          <w:color w:val="111111"/>
          <w:sz w:val="22"/>
        </w:rPr>
        <w:t>The operational database contains source entries, identity and rights settings, account lifecycle state, project assignments, audit history, messages and encrypted keys, review/handoff state, assistant telemetry, and issue records. Each data class has a different recovery and retention consequence. Restoring an old snapshot may re-enable a revoked account or resurrect a message; restore procedures must therefore include security-state reconciliation and a clear recovery point objective.</w:t>
      </w:r>
    </w:p>
    <w:p>
      <w:pPr>
        <w:widowControl/>
      </w:pPr>
      <w:r>
        <w:rPr>
          <w:rFonts w:ascii="Arial" w:hAnsi="Arial" w:eastAsia="Arial"/>
          <w:b w:val="0"/>
          <w:color w:val="111111"/>
          <w:sz w:val="22"/>
        </w:rPr>
        <w:t>Neon/Vercel platform capabilities should be verified against the actual plan and project configuration; do not assume a particular point-in-time retention window. Document backup schedule, retention, encryption, ownership, region, restore target, and operator authorization. Keep a runbook for restoring into an isolated environment, validating schema and counts, reconciling access changes, and switching traffic only after approval.</w:t>
      </w:r>
    </w:p>
    <w:p>
      <w:pPr>
        <w:widowControl/>
      </w:pPr>
      <w:r>
        <w:rPr>
          <w:rFonts w:ascii="Arial" w:hAnsi="Arial" w:eastAsia="Arial"/>
          <w:b w:val="0"/>
          <w:color w:val="111111"/>
          <w:sz w:val="22"/>
        </w:rPr>
        <w:t>Database resets are destructive operations. A previous authorized reset recorded in DATABASE_MANAGEMENT.md applied to the local repository’s configured target at that time, preserved schema and indexes, and did not mean production was reset. It is not permission for future wipes. Before any reset, confirm exact environment and database identity, business-data scope, retention and legal holds, backups, admin identity preservation, and rollback route. Never put automatic resets in app startup or deployment.</w:t>
      </w:r>
    </w:p>
    <w:p>
      <w:pPr>
        <w:widowControl/>
      </w:pPr>
      <w:r>
        <w:rPr>
          <w:rFonts w:ascii="Arial" w:hAnsi="Arial" w:eastAsia="Arial"/>
          <w:b w:val="0"/>
          <w:color w:val="111111"/>
          <w:sz w:val="22"/>
        </w:rPr>
        <w:t>For SaaS, lifecycle state should govern account and company suspension. A suspended company should lose new sessions and integrations while records remain available under retention rules. A retired company needs export, hold, deletion, and backup-expiry policies. Keep the platform control plane’s provisioning log separate from customer audit events.</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No database wipe is part of this guide or release. Historical reset notes must not be interpreted as a standing authorization.</w:t>
      </w:r>
    </w:p>
    <w:p>
      <w:r>
        <w:br w:type="page"/>
      </w:r>
    </w:p>
    <w:p>
      <w:pPr>
        <w:pStyle w:val="Heading1"/>
        <w:keepNext/>
      </w:pPr>
      <w:r>
        <w:rPr>
          <w:rFonts w:ascii="Arial" w:hAnsi="Arial" w:eastAsia="Arial"/>
          <w:b w:val="0"/>
          <w:color w:val="111111"/>
          <w:sz w:val="37"/>
        </w:rPr>
        <w:t>24  Operational runbooks and support</w:t>
      </w:r>
    </w:p>
    <w:p>
      <w:pPr>
        <w:keepNext/>
        <w:spacing w:after="180"/>
      </w:pPr>
      <w:r>
        <w:rPr>
          <w:rFonts w:ascii="Arial" w:hAnsi="Arial" w:eastAsia="Arial"/>
          <w:b w:val="0"/>
          <w:color w:val="000000"/>
          <w:sz w:val="21"/>
        </w:rPr>
        <w:t>Troubleshooting should start with environment, request, route, and state rather than replaying the failing action.</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CEEFF"/>
            <w:tcMar>
              <w:top w:w="105" w:type="dxa"/>
              <w:start w:w="100" w:type="dxa"/>
              <w:bottom w:w="105" w:type="dxa"/>
              <w:end w:w="100" w:type="dxa"/>
            </w:tcMar>
          </w:tcPr>
          <w:p>
            <w:pPr>
              <w:spacing w:after="0"/>
              <w:jc w:val="center"/>
            </w:pPr>
            <w:r>
              <w:rPr>
                <w:rFonts w:ascii="Arial" w:hAnsi="Arial" w:eastAsia="Arial"/>
                <w:b w:val="0"/>
                <w:color w:val="111111"/>
                <w:sz w:val="15"/>
              </w:rPr>
              <w:t>Identify deployment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correlate request</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classify status and stage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inspect current record</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Identify deployment → correlate request → classify status and stage → inspect current record → determine commit state → repair once → verify audit and UI</w:t>
      </w:r>
    </w:p>
    <w:p>
      <w:pPr>
        <w:widowControl/>
      </w:pPr>
      <w:r>
        <w:rPr>
          <w:rFonts w:ascii="Arial" w:hAnsi="Arial" w:eastAsia="Arial"/>
          <w:b w:val="0"/>
          <w:color w:val="111111"/>
          <w:sz w:val="22"/>
        </w:rPr>
        <w:t>For a submission or PATCH failure, capture the exact environment, deployment SHA, actor role, method, route, status, request ID, safe error code, and current record revision. Then inspect client logs, API diagnostics, server route logs, database code, and audit history. A 404 may mean a wrong base path, wrong route, inaccessible/hidden row, or stale ID; it should not be “fixed” by broadening access before confirming the cause. A 409 commonly signals state or revision conflict. A 503 can indicate persistence or provider unavailability.</w:t>
      </w:r>
    </w:p>
    <w:p>
      <w:pPr>
        <w:widowControl/>
      </w:pPr>
      <w:r>
        <w:rPr>
          <w:rFonts w:ascii="Arial" w:hAnsi="Arial" w:eastAsia="Arial"/>
          <w:b w:val="0"/>
          <w:color w:val="111111"/>
          <w:sz w:val="22"/>
        </w:rPr>
        <w:t>For a Microsoft login callback error, compare the request URL to Auth.js base path and the exact Entra redirect URI. Verify issuer, client configuration, deployment environment, callback state, and database session creation. Avoid reusing an auth code or copying tokens into chat. For AI failure, identify the logged stage (permissions, context loading, model generation, schema/response save) and inspect model configuration and provider observability. The user-facing message should remain generic; internal diagnostics should be specific but redacted.</w:t>
      </w:r>
    </w:p>
    <w:p>
      <w:pPr>
        <w:widowControl/>
      </w:pPr>
      <w:r>
        <w:rPr>
          <w:rFonts w:ascii="Arial" w:hAnsi="Arial" w:eastAsia="Arial"/>
          <w:b w:val="0"/>
          <w:color w:val="111111"/>
          <w:sz w:val="22"/>
        </w:rPr>
        <w:t>After an uncertain mutation, do not submit it again immediately. Reload the source record and audit trail to see if it committed. Idempotency keys are needed for future integrations where retries are expected. Keep runbooks for database outage, auth outage, AI outage, external provider outage, suspected cross-company access, and restore.</w:t>
      </w:r>
    </w:p>
    <w:p>
      <w:pPr>
        <w:widowControl/>
      </w:pPr>
      <w:r>
        <w:rPr>
          <w:rFonts w:ascii="Arial" w:hAnsi="Arial" w:eastAsia="Arial"/>
          <w:b w:val="0"/>
          <w:color w:val="111111"/>
          <w:sz w:val="22"/>
        </w:rPr>
        <w:t>Admin repair notes are not executable commands. An assistant may help summarize evidence, but a human must approve code or data repair and then verify the outcome in the source of truth.</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Diagnostics should reduce uncertainty without exposing secrets. Never broaden permissions merely to make a failing route return 200.</w:t>
      </w:r>
    </w:p>
    <w:p>
      <w:r>
        <w:br w:type="page"/>
      </w:r>
    </w:p>
    <w:p>
      <w:pPr>
        <w:pStyle w:val="Heading1"/>
        <w:keepNext/>
      </w:pPr>
      <w:r>
        <w:rPr>
          <w:rFonts w:ascii="Arial" w:hAnsi="Arial" w:eastAsia="Arial"/>
          <w:b w:val="0"/>
          <w:color w:val="111111"/>
          <w:sz w:val="37"/>
        </w:rPr>
        <w:t>25  Current state and engineering decisions</w:t>
      </w:r>
    </w:p>
    <w:p>
      <w:pPr>
        <w:keepNext/>
        <w:spacing w:after="180"/>
      </w:pPr>
      <w:r>
        <w:rPr>
          <w:rFonts w:ascii="Arial" w:hAnsi="Arial" w:eastAsia="Arial"/>
          <w:b w:val="0"/>
          <w:color w:val="000000"/>
          <w:sz w:val="21"/>
        </w:rPr>
        <w:t>This page records what the Development release establishes and where engineering review is still needed.</w:t>
      </w:r>
    </w:p>
    <w:tbl>
      <w:tblPr>
        <w:tblW w:type="auto" w:w="0"/>
        <w:jc w:val="center"/>
        <w:tblLayout w:type="fixed"/>
        <w:tblLook w:firstColumn="1" w:firstRow="1" w:lastColumn="0" w:lastRow="0" w:noHBand="0" w:noVBand="1" w:val="04A0"/>
        <w:tblBorders>
          <w:top w:val="single" w:sz="5" w:space="0" w:color="C9D2DD"/>
          <w:left w:val="single" w:sz="5" w:space="0" w:color="C9D2DD"/>
          <w:bottom w:val="single" w:sz="5" w:space="0" w:color="C9D2DD"/>
          <w:right w:val="single" w:sz="5" w:space="0" w:color="C9D2DD"/>
          <w:insideH w:val="single" w:sz="5" w:space="0" w:color="C9D2DD"/>
          <w:insideV w:val="single" w:sz="5" w:space="0" w:color="C9D2DD"/>
        </w:tblBorders>
      </w:tblPr>
      <w:tblGrid>
        <w:gridCol w:w="1130"/>
        <w:gridCol w:w="1130"/>
        <w:gridCol w:w="1130"/>
        <w:gridCol w:w="1130"/>
        <w:gridCol w:w="1130"/>
        <w:gridCol w:w="1130"/>
        <w:gridCol w:w="1130"/>
        <w:gridCol w:w="1130"/>
        <w:gridCol w:w="1130"/>
      </w:tblGrid>
      <w:tr>
        <w:tc>
          <w:tcPr>
            <w:tcW w:type="dxa" w:w="1112"/>
            <w:vAlign w:val="center"/>
            <w:shd w:fill="DDF5E8"/>
            <w:tcMar>
              <w:top w:w="105" w:type="dxa"/>
              <w:start w:w="100" w:type="dxa"/>
              <w:bottom w:w="105" w:type="dxa"/>
              <w:end w:w="100" w:type="dxa"/>
            </w:tcMar>
          </w:tcPr>
          <w:p>
            <w:pPr>
              <w:spacing w:after="0"/>
              <w:jc w:val="center"/>
            </w:pPr>
            <w:r>
              <w:rPr>
                <w:rFonts w:ascii="Arial" w:hAnsi="Arial" w:eastAsia="Arial"/>
                <w:b w:val="0"/>
                <w:color w:val="111111"/>
                <w:sz w:val="15"/>
              </w:rPr>
              <w:t>Verified code release</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FF0D9"/>
            <w:tcMar>
              <w:top w:w="105" w:type="dxa"/>
              <w:start w:w="100" w:type="dxa"/>
              <w:bottom w:w="105" w:type="dxa"/>
              <w:end w:w="100" w:type="dxa"/>
            </w:tcMar>
          </w:tcPr>
          <w:p>
            <w:pPr>
              <w:spacing w:after="0"/>
              <w:jc w:val="center"/>
            </w:pPr>
            <w:r>
              <w:rPr>
                <w:rFonts w:ascii="Arial" w:hAnsi="Arial" w:eastAsia="Arial"/>
                <w:b w:val="0"/>
                <w:color w:val="111111"/>
                <w:sz w:val="15"/>
              </w:rPr>
              <w:t>deployment configuration review</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FCE2E2"/>
            <w:tcMar>
              <w:top w:w="105" w:type="dxa"/>
              <w:start w:w="100" w:type="dxa"/>
              <w:bottom w:w="105" w:type="dxa"/>
              <w:end w:w="100" w:type="dxa"/>
            </w:tcMar>
          </w:tcPr>
          <w:p>
            <w:pPr>
              <w:spacing w:after="0"/>
              <w:jc w:val="center"/>
            </w:pPr>
            <w:r>
              <w:rPr>
                <w:rFonts w:ascii="Arial" w:hAnsi="Arial" w:eastAsia="Arial"/>
                <w:b w:val="0"/>
                <w:color w:val="111111"/>
                <w:sz w:val="15"/>
              </w:rPr>
              <w:t>senior engineering decisions</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8E7FA"/>
            <w:tcMar>
              <w:top w:w="105" w:type="dxa"/>
              <w:start w:w="100" w:type="dxa"/>
              <w:bottom w:w="105" w:type="dxa"/>
              <w:end w:w="100" w:type="dxa"/>
            </w:tcMar>
          </w:tcPr>
          <w:p>
            <w:pPr>
              <w:spacing w:after="0"/>
              <w:jc w:val="center"/>
            </w:pPr>
            <w:r>
              <w:rPr>
                <w:rFonts w:ascii="Arial" w:hAnsi="Arial" w:eastAsia="Arial"/>
                <w:b w:val="0"/>
                <w:color w:val="111111"/>
                <w:sz w:val="15"/>
              </w:rPr>
              <w:t>scoped roadmap</w:t>
            </w:r>
          </w:p>
        </w:tc>
        <w:tc>
          <w:tcPr>
            <w:tcW w:type="dxa" w:w="1112"/>
            <w:vAlign w:val="center"/>
            <w:tcMar>
              <w:top w:w="0" w:type="dxa"/>
              <w:start w:w="10" w:type="dxa"/>
              <w:bottom w:w="0" w:type="dxa"/>
              <w:end w:w="10" w:type="dxa"/>
            </w:tcMar>
          </w:tcPr>
          <w:p>
            <w:pPr>
              <w:spacing w:after="0"/>
              <w:jc w:val="center"/>
            </w:pPr>
            <w:r>
              <w:rPr>
                <w:rFonts w:ascii="Arial" w:hAnsi="Arial" w:eastAsia="Arial"/>
                <w:b w:val="0"/>
                <w:color w:val="1E5B7A"/>
                <w:sz w:val="26"/>
              </w:rPr>
              <w:t>→</w:t>
            </w:r>
          </w:p>
        </w:tc>
        <w:tc>
          <w:tcPr>
            <w:tcW w:type="dxa" w:w="1112"/>
            <w:vAlign w:val="center"/>
            <w:shd w:fill="E4F3F2"/>
            <w:tcMar>
              <w:top w:w="105" w:type="dxa"/>
              <w:start w:w="100" w:type="dxa"/>
              <w:bottom w:w="105" w:type="dxa"/>
              <w:end w:w="100" w:type="dxa"/>
            </w:tcMar>
          </w:tcPr>
          <w:p>
            <w:pPr>
              <w:spacing w:after="0"/>
              <w:jc w:val="center"/>
            </w:pPr>
            <w:r>
              <w:rPr>
                <w:rFonts w:ascii="Arial" w:hAnsi="Arial" w:eastAsia="Arial"/>
                <w:b w:val="0"/>
                <w:color w:val="111111"/>
                <w:sz w:val="15"/>
              </w:rPr>
              <w:t>Final checks</w:t>
            </w:r>
          </w:p>
        </w:tc>
      </w:tr>
    </w:tbl>
    <w:p>
      <w:pPr>
        <w:keepNext/>
        <w:spacing w:before="60" w:after="160"/>
      </w:pPr>
      <w:r>
        <w:rPr>
          <w:rFonts w:ascii="Arial" w:hAnsi="Arial" w:eastAsia="Arial"/>
          <w:b/>
          <w:color w:val="000000"/>
          <w:sz w:val="16"/>
        </w:rPr>
        <w:t>BLOCK FLOW</w:t>
      </w:r>
      <w:r>
        <w:rPr>
          <w:rFonts w:ascii="Arial" w:hAnsi="Arial" w:eastAsia="Arial"/>
          <w:b w:val="0"/>
          <w:color w:val="000000"/>
          <w:sz w:val="16"/>
        </w:rPr>
        <w:t xml:space="preserve">  </w:t>
      </w:r>
      <w:r>
        <w:rPr>
          <w:rFonts w:ascii="Arial" w:hAnsi="Arial" w:eastAsia="Arial"/>
          <w:b w:val="0"/>
          <w:color w:val="000000"/>
          <w:sz w:val="16"/>
        </w:rPr>
        <w:t>Verified code release → deployment configuration review → senior engineering decisions → scoped roadmap → tested implementation → controlled customer rollout</w:t>
      </w:r>
    </w:p>
    <w:p>
      <w:pPr>
        <w:widowControl/>
      </w:pPr>
      <w:r>
        <w:rPr>
          <w:rFonts w:ascii="Arial" w:hAnsi="Arial" w:eastAsia="Arial"/>
          <w:b w:val="0"/>
          <w:color w:val="111111"/>
          <w:sz w:val="22"/>
        </w:rPr>
        <w:t>The verified Development release is on branch Development at commit f056019 (Refresh project overview and stabilize navigation tests). The release passed pnpm verify: TypeScript, 551 tests across 112 files, and a successful Next.js production build. The guide itself is generated after that push and is a documentation artifact; it does not change the released application code.</w:t>
      </w:r>
    </w:p>
    <w:p>
      <w:pPr>
        <w:widowControl/>
      </w:pPr>
      <w:r>
        <w:rPr>
          <w:rFonts w:ascii="Arial" w:hAnsi="Arial" w:eastAsia="Arial"/>
          <w:b w:val="0"/>
          <w:color w:val="111111"/>
          <w:sz w:val="22"/>
        </w:rPr>
        <w:t>Implemented areas include role-aware workspaces, Entra single-tenant sign-in with revocable app sessions, effective permission resolution, period-aware timesheet entry rules, project assignments, manager and account-manager review lanes, extension requests, scoped reports and activity history, encrypted messaging, AI recommendation/proposal paths, integration-call groundwork, and safe diagnostics.</w:t>
      </w:r>
    </w:p>
    <w:p>
      <w:pPr>
        <w:widowControl/>
      </w:pPr>
      <w:r>
        <w:rPr>
          <w:rFonts w:ascii="Arial" w:hAnsi="Arial" w:eastAsia="Arial"/>
          <w:b w:val="0"/>
          <w:color w:val="111111"/>
          <w:sz w:val="22"/>
        </w:rPr>
        <w:t>Important unfinished or deployment-dependent areas include the assistant’s actual provider availability in preview, end-to-end Microsoft Graph or other external app integrations, patron-facing PDF/CSV export, company registration and multi-company provisioning, shared-database tenant isolation, formal migration credentials, tested backup/restore procedures, and billing/licensing. These items need named owners, acceptance criteria, and security review rather than being implied by UI scaffolding.</w:t>
      </w:r>
    </w:p>
    <w:p>
      <w:pPr>
        <w:widowControl/>
      </w:pPr>
      <w:r>
        <w:rPr>
          <w:rFonts w:ascii="Arial" w:hAnsi="Arial" w:eastAsia="Arial"/>
          <w:b w:val="0"/>
          <w:color w:val="111111"/>
          <w:sz w:val="22"/>
        </w:rPr>
        <w:t>The next technical review should decide the AI Gateway setup with a senior engineer and manager: authentication method, model allowlist, data-retention policy, budget caps, observability, fallback policy, prompt/version governance, and evaluation dataset. For SaaS, decide whether to launch with isolated databases per customer and how to automate provisioning, migration, support access, backups, and lifecycle operations. Do not merge those decisions into current app behavior until a scoped implementation and test plan is approved.</w:t>
      </w:r>
    </w:p>
    <w:p>
      <w:pPr>
        <w:keepLines/>
        <w:spacing w:before="60"/>
      </w:pPr>
      <w:r>
        <w:rPr>
          <w:rFonts w:ascii="Arial" w:hAnsi="Arial" w:eastAsia="Arial"/>
          <w:b/>
          <w:color w:val="000000"/>
          <w:sz w:val="18"/>
        </w:rPr>
        <w:t>IMPLEMENTATION BOUNDARY</w:t>
      </w:r>
      <w:r>
        <w:rPr>
          <w:rFonts w:ascii="Arial" w:hAnsi="Arial" w:eastAsia="Arial"/>
          <w:b w:val="0"/>
          <w:color w:val="000000"/>
          <w:sz w:val="18"/>
        </w:rPr>
        <w:t xml:space="preserve">  </w:t>
      </w:r>
      <w:r>
        <w:rPr>
          <w:rFonts w:ascii="Arial" w:hAnsi="Arial" w:eastAsia="Arial"/>
          <w:b w:val="0"/>
          <w:color w:val="000000"/>
          <w:sz w:val="18"/>
        </w:rPr>
        <w:t>This guide is a code-grounded snapshot as of 18 October 2026. Recheck source, environment variables, and deployment state before treating it as a live operations manual.</w:t>
      </w:r>
    </w:p>
    <w:p>
      <w:r>
        <w:br w:type="page"/>
      </w:r>
    </w:p>
    <w:p>
      <w:pPr>
        <w:pStyle w:val="Heading1"/>
      </w:pPr>
      <w:r>
        <w:rPr>
          <w:rFonts w:ascii="Arial" w:hAnsi="Arial" w:eastAsia="Arial"/>
          <w:b w:val="0"/>
          <w:color w:val="111111"/>
          <w:sz w:val="37"/>
        </w:rPr>
        <w:t>Source map and verification notes</w:t>
      </w:r>
    </w:p>
    <w:p>
      <w:r>
        <w:rPr>
          <w:rFonts w:ascii="Arial" w:hAnsi="Arial" w:eastAsia="Arial"/>
          <w:b w:val="0"/>
          <w:color w:val="111111"/>
          <w:sz w:val="21"/>
        </w:rPr>
        <w:t>Use this map to locate the implementation paths discussed in the guide. File names are repository-relative and refer to the Development snapshot named on the cover.</w:t>
      </w:r>
    </w:p>
    <w:tbl>
      <w:tblPr>
        <w:tblW w:type="auto" w:w="0"/>
        <w:jc w:val="center"/>
        <w:tblLayout w:type="fixed"/>
        <w:tblLook w:firstColumn="1" w:firstRow="1" w:lastColumn="0" w:lastRow="0" w:noHBand="0" w:noVBand="1" w:val="04A0"/>
        <w:tblBorders>
          <w:top w:val="single" w:sz="6" w:space="0" w:color="D6DCE5"/>
          <w:left w:val="single" w:sz="6" w:space="0" w:color="D6DCE5"/>
          <w:bottom w:val="single" w:sz="6" w:space="0" w:color="D6DCE5"/>
          <w:right w:val="single" w:sz="6" w:space="0" w:color="D6DCE5"/>
          <w:insideH w:val="single" w:sz="6" w:space="0" w:color="D6DCE5"/>
          <w:insideV w:val="single" w:sz="6" w:space="0" w:color="D6DCE5"/>
        </w:tblBorders>
      </w:tblPr>
      <w:tblGrid>
        <w:gridCol w:w="2520"/>
        <w:gridCol w:w="7488"/>
      </w:tblGrid>
      <w:tr>
        <w:tc>
          <w:tcPr>
            <w:tcW w:type="dxa" w:w="5083"/>
            <w:shd w:fill="222222"/>
            <w:tcMar>
              <w:top w:w="120" w:type="dxa"/>
              <w:start w:w="120" w:type="dxa"/>
              <w:bottom w:w="120" w:type="dxa"/>
              <w:end w:w="120" w:type="dxa"/>
            </w:tcMar>
          </w:tcPr>
          <w:p>
            <w:r>
              <w:rPr>
                <w:rFonts w:ascii="Arial" w:hAnsi="Arial" w:eastAsia="Arial"/>
                <w:b w:val="0"/>
                <w:color w:val="FFFFFF"/>
                <w:sz w:val="18"/>
              </w:rPr>
              <w:t>AREA</w:t>
            </w:r>
          </w:p>
        </w:tc>
        <w:tc>
          <w:tcPr>
            <w:tcW w:type="dxa" w:w="5083"/>
            <w:shd w:fill="222222"/>
            <w:tcMar>
              <w:top w:w="120" w:type="dxa"/>
              <w:start w:w="120" w:type="dxa"/>
              <w:bottom w:w="120" w:type="dxa"/>
              <w:end w:w="120" w:type="dxa"/>
            </w:tcMar>
          </w:tcPr>
          <w:p>
            <w:r>
              <w:rPr>
                <w:rFonts w:ascii="Arial" w:hAnsi="Arial" w:eastAsia="Arial"/>
                <w:b w:val="0"/>
                <w:color w:val="FFFFFF"/>
                <w:sz w:val="18"/>
              </w:rPr>
              <w:t>IMPLEMENTATION LOCATIONS</w:t>
            </w:r>
          </w:p>
        </w:tc>
      </w:tr>
      <w:tr>
        <w:tc>
          <w:tcPr>
            <w:tcW w:type="dxa" w:w="2520"/>
            <w:tcMar>
              <w:top w:w="100" w:type="dxa"/>
              <w:start w:w="120" w:type="dxa"/>
              <w:bottom w:w="100" w:type="dxa"/>
              <w:end w:w="120" w:type="dxa"/>
            </w:tcMar>
            <w:vAlign w:val="center"/>
            <w:shd w:fill="E8EFF4"/>
          </w:tcPr>
          <w:p>
            <w:r>
              <w:rPr>
                <w:rFonts w:ascii="Arial" w:hAnsi="Arial" w:eastAsia="Arial"/>
                <w:b w:val="0"/>
                <w:color w:val="111111"/>
                <w:sz w:val="18"/>
              </w:rPr>
              <w:t>Authentication and session</w:t>
            </w:r>
          </w:p>
        </w:tc>
        <w:tc>
          <w:tcPr>
            <w:tcW w:type="dxa" w:w="7488"/>
            <w:tcMar>
              <w:top w:w="100" w:type="dxa"/>
              <w:start w:w="120" w:type="dxa"/>
              <w:bottom w:w="100" w:type="dxa"/>
              <w:end w:w="120" w:type="dxa"/>
            </w:tcMar>
            <w:vAlign w:val="center"/>
            <w:shd w:fill="FFFFFF"/>
          </w:tcPr>
          <w:p>
            <w:r>
              <w:rPr>
                <w:rFonts w:ascii="Arial" w:hAnsi="Arial" w:eastAsia="Arial"/>
                <w:b w:val="0"/>
                <w:color w:val="111111"/>
                <w:sz w:val="16"/>
              </w:rPr>
              <w:t>auth.ts; lib/app-sessions.ts; lib/session-policy.ts; app/api/access-reauth/*</w:t>
            </w:r>
          </w:p>
        </w:tc>
      </w:tr>
      <w:tr>
        <w:tc>
          <w:tcPr>
            <w:tcW w:type="dxa" w:w="2520"/>
            <w:tcMar>
              <w:top w:w="100" w:type="dxa"/>
              <w:start w:w="120" w:type="dxa"/>
              <w:bottom w:w="100" w:type="dxa"/>
              <w:end w:w="120" w:type="dxa"/>
            </w:tcMar>
            <w:vAlign w:val="center"/>
            <w:shd w:fill="F4F7F9"/>
          </w:tcPr>
          <w:p>
            <w:r>
              <w:rPr>
                <w:rFonts w:ascii="Arial" w:hAnsi="Arial" w:eastAsia="Arial"/>
                <w:b w:val="0"/>
                <w:color w:val="111111"/>
                <w:sz w:val="18"/>
              </w:rPr>
              <w:t>Permissions and delegation</w:t>
            </w:r>
          </w:p>
        </w:tc>
        <w:tc>
          <w:tcPr>
            <w:tcW w:type="dxa" w:w="7488"/>
            <w:tcMar>
              <w:top w:w="100" w:type="dxa"/>
              <w:start w:w="120" w:type="dxa"/>
              <w:bottom w:w="100" w:type="dxa"/>
              <w:end w:w="120" w:type="dxa"/>
            </w:tcMar>
            <w:vAlign w:val="center"/>
            <w:shd w:fill="FAFBFC"/>
          </w:tcPr>
          <w:p>
            <w:r>
              <w:rPr>
                <w:rFonts w:ascii="Arial" w:hAnsi="Arial" w:eastAsia="Arial"/>
                <w:b w:val="0"/>
                <w:color w:val="111111"/>
                <w:sz w:val="16"/>
              </w:rPr>
              <w:t>lib/permissions.ts; lib/effective-permissions.ts; lib/access.ts; app/api/delegation/route.ts; app/api/users/route.ts</w:t>
            </w:r>
          </w:p>
        </w:tc>
      </w:tr>
      <w:tr>
        <w:tc>
          <w:tcPr>
            <w:tcW w:type="dxa" w:w="2520"/>
            <w:tcMar>
              <w:top w:w="100" w:type="dxa"/>
              <w:start w:w="120" w:type="dxa"/>
              <w:bottom w:w="100" w:type="dxa"/>
              <w:end w:w="120" w:type="dxa"/>
            </w:tcMar>
            <w:vAlign w:val="center"/>
            <w:shd w:fill="E8EFF4"/>
          </w:tcPr>
          <w:p>
            <w:r>
              <w:rPr>
                <w:rFonts w:ascii="Arial" w:hAnsi="Arial" w:eastAsia="Arial"/>
                <w:b w:val="0"/>
                <w:color w:val="111111"/>
                <w:sz w:val="18"/>
              </w:rPr>
              <w:t>Entry lifecycle</w:t>
            </w:r>
          </w:p>
        </w:tc>
        <w:tc>
          <w:tcPr>
            <w:tcW w:type="dxa" w:w="7488"/>
            <w:tcMar>
              <w:top w:w="100" w:type="dxa"/>
              <w:start w:w="120" w:type="dxa"/>
              <w:bottom w:w="100" w:type="dxa"/>
              <w:end w:w="120" w:type="dxa"/>
            </w:tcMar>
            <w:vAlign w:val="center"/>
            <w:shd w:fill="FFFFFF"/>
          </w:tcPr>
          <w:p>
            <w:r>
              <w:rPr>
                <w:rFonts w:ascii="Arial" w:hAnsi="Arial" w:eastAsia="Arial"/>
                <w:b w:val="0"/>
                <w:color w:val="111111"/>
                <w:sz w:val="16"/>
              </w:rPr>
              <w:t>app/api/entries/route.ts; app/api/entries/[id]/route.ts; lib/db.ts; lib/review-access.ts; lib/review-policy.ts</w:t>
            </w:r>
          </w:p>
        </w:tc>
      </w:tr>
      <w:tr>
        <w:tc>
          <w:tcPr>
            <w:tcW w:type="dxa" w:w="2520"/>
            <w:tcMar>
              <w:top w:w="100" w:type="dxa"/>
              <w:start w:w="120" w:type="dxa"/>
              <w:bottom w:w="100" w:type="dxa"/>
              <w:end w:w="120" w:type="dxa"/>
            </w:tcMar>
            <w:vAlign w:val="center"/>
            <w:shd w:fill="F4F7F9"/>
          </w:tcPr>
          <w:p>
            <w:r>
              <w:rPr>
                <w:rFonts w:ascii="Arial" w:hAnsi="Arial" w:eastAsia="Arial"/>
                <w:b w:val="0"/>
                <w:color w:val="111111"/>
                <w:sz w:val="18"/>
              </w:rPr>
              <w:t>Periods and extensions</w:t>
            </w:r>
          </w:p>
        </w:tc>
        <w:tc>
          <w:tcPr>
            <w:tcW w:type="dxa" w:w="7488"/>
            <w:tcMar>
              <w:top w:w="100" w:type="dxa"/>
              <w:start w:w="120" w:type="dxa"/>
              <w:bottom w:w="100" w:type="dxa"/>
              <w:end w:w="120" w:type="dxa"/>
            </w:tcMar>
            <w:vAlign w:val="center"/>
            <w:shd w:fill="FAFBFC"/>
          </w:tcPr>
          <w:p>
            <w:r>
              <w:rPr>
                <w:rFonts w:ascii="Arial" w:hAnsi="Arial" w:eastAsia="Arial"/>
                <w:b w:val="0"/>
                <w:color w:val="111111"/>
                <w:sz w:val="16"/>
              </w:rPr>
              <w:t>app/api/timesheet-periods/route.ts; app/api/submission-extensions/route.ts; app/api/submission-extensions/[id]/route.ts</w:t>
            </w:r>
          </w:p>
        </w:tc>
      </w:tr>
      <w:tr>
        <w:tc>
          <w:tcPr>
            <w:tcW w:type="dxa" w:w="2520"/>
            <w:tcMar>
              <w:top w:w="100" w:type="dxa"/>
              <w:start w:w="120" w:type="dxa"/>
              <w:bottom w:w="100" w:type="dxa"/>
              <w:end w:w="120" w:type="dxa"/>
            </w:tcMar>
            <w:vAlign w:val="center"/>
            <w:shd w:fill="E8EFF4"/>
          </w:tcPr>
          <w:p>
            <w:r>
              <w:rPr>
                <w:rFonts w:ascii="Arial" w:hAnsi="Arial" w:eastAsia="Arial"/>
                <w:b w:val="0"/>
                <w:color w:val="111111"/>
                <w:sz w:val="18"/>
              </w:rPr>
              <w:t>Projects and account handoff</w:t>
            </w:r>
          </w:p>
        </w:tc>
        <w:tc>
          <w:tcPr>
            <w:tcW w:type="dxa" w:w="7488"/>
            <w:tcMar>
              <w:top w:w="100" w:type="dxa"/>
              <w:start w:w="120" w:type="dxa"/>
              <w:bottom w:w="100" w:type="dxa"/>
              <w:end w:w="120" w:type="dxa"/>
            </w:tcMar>
            <w:vAlign w:val="center"/>
            <w:shd w:fill="FFFFFF"/>
          </w:tcPr>
          <w:p>
            <w:r>
              <w:rPr>
                <w:rFonts w:ascii="Arial" w:hAnsi="Arial" w:eastAsia="Arial"/>
                <w:b w:val="0"/>
                <w:color w:val="111111"/>
                <w:sz w:val="16"/>
              </w:rPr>
              <w:t>app/api/projects/route.ts; lib/db.ts; lib/account-handoffs.ts; app/api/accounts/*</w:t>
            </w:r>
          </w:p>
        </w:tc>
      </w:tr>
      <w:tr>
        <w:tc>
          <w:tcPr>
            <w:tcW w:type="dxa" w:w="2520"/>
            <w:tcMar>
              <w:top w:w="100" w:type="dxa"/>
              <w:start w:w="120" w:type="dxa"/>
              <w:bottom w:w="100" w:type="dxa"/>
              <w:end w:w="120" w:type="dxa"/>
            </w:tcMar>
            <w:vAlign w:val="center"/>
            <w:shd w:fill="F4F7F9"/>
          </w:tcPr>
          <w:p>
            <w:r>
              <w:rPr>
                <w:rFonts w:ascii="Arial" w:hAnsi="Arial" w:eastAsia="Arial"/>
                <w:b w:val="0"/>
                <w:color w:val="111111"/>
                <w:sz w:val="18"/>
              </w:rPr>
              <w:t>Messaging</w:t>
            </w:r>
          </w:p>
        </w:tc>
        <w:tc>
          <w:tcPr>
            <w:tcW w:type="dxa" w:w="7488"/>
            <w:tcMar>
              <w:top w:w="100" w:type="dxa"/>
              <w:start w:w="120" w:type="dxa"/>
              <w:bottom w:w="100" w:type="dxa"/>
              <w:end w:w="120" w:type="dxa"/>
            </w:tcMar>
            <w:vAlign w:val="center"/>
            <w:shd w:fill="FAFBFC"/>
          </w:tcPr>
          <w:p>
            <w:r>
              <w:rPr>
                <w:rFonts w:ascii="Arial" w:hAnsi="Arial" w:eastAsia="Arial"/>
                <w:b w:val="0"/>
                <w:color w:val="111111"/>
                <w:sz w:val="16"/>
              </w:rPr>
              <w:t>app/api/messages/route.ts; lib/collaboration.ts; lib/message-crypto.ts; lib/message-envelope.ts; lib/message-history-store.ts</w:t>
            </w:r>
          </w:p>
        </w:tc>
      </w:tr>
      <w:tr>
        <w:tc>
          <w:tcPr>
            <w:tcW w:type="dxa" w:w="2520"/>
            <w:tcMar>
              <w:top w:w="100" w:type="dxa"/>
              <w:start w:w="120" w:type="dxa"/>
              <w:bottom w:w="100" w:type="dxa"/>
              <w:end w:w="120" w:type="dxa"/>
            </w:tcMar>
            <w:vAlign w:val="center"/>
            <w:shd w:fill="E8EFF4"/>
          </w:tcPr>
          <w:p>
            <w:r>
              <w:rPr>
                <w:rFonts w:ascii="Arial" w:hAnsi="Arial" w:eastAsia="Arial"/>
                <w:b w:val="0"/>
                <w:color w:val="111111"/>
                <w:sz w:val="18"/>
              </w:rPr>
              <w:t>AI</w:t>
            </w:r>
          </w:p>
        </w:tc>
        <w:tc>
          <w:tcPr>
            <w:tcW w:type="dxa" w:w="7488"/>
            <w:tcMar>
              <w:top w:w="100" w:type="dxa"/>
              <w:start w:w="120" w:type="dxa"/>
              <w:bottom w:w="100" w:type="dxa"/>
              <w:end w:w="120" w:type="dxa"/>
            </w:tcMar>
            <w:vAlign w:val="center"/>
            <w:shd w:fill="FFFFFF"/>
          </w:tcPr>
          <w:p>
            <w:r>
              <w:rPr>
                <w:rFonts w:ascii="Arial" w:hAnsi="Arial" w:eastAsia="Arial"/>
                <w:b w:val="0"/>
                <w:color w:val="111111"/>
                <w:sz w:val="16"/>
              </w:rPr>
              <w:t>app/api/assistant/route.ts; app/api/assistant/actions/route.ts; app/api/review/route.ts; lib/assistant-contract.ts; lib/assistant-security.ts; lib/ai-models.ts</w:t>
            </w:r>
          </w:p>
        </w:tc>
      </w:tr>
      <w:tr>
        <w:tc>
          <w:tcPr>
            <w:tcW w:type="dxa" w:w="2520"/>
            <w:tcMar>
              <w:top w:w="100" w:type="dxa"/>
              <w:start w:w="120" w:type="dxa"/>
              <w:bottom w:w="100" w:type="dxa"/>
              <w:end w:w="120" w:type="dxa"/>
            </w:tcMar>
            <w:vAlign w:val="center"/>
            <w:shd w:fill="F4F7F9"/>
          </w:tcPr>
          <w:p>
            <w:r>
              <w:rPr>
                <w:rFonts w:ascii="Arial" w:hAnsi="Arial" w:eastAsia="Arial"/>
                <w:b w:val="0"/>
                <w:color w:val="111111"/>
                <w:sz w:val="18"/>
              </w:rPr>
              <w:t>Integrations and diagnostics</w:t>
            </w:r>
          </w:p>
        </w:tc>
        <w:tc>
          <w:tcPr>
            <w:tcW w:type="dxa" w:w="7488"/>
            <w:tcMar>
              <w:top w:w="100" w:type="dxa"/>
              <w:start w:w="120" w:type="dxa"/>
              <w:bottom w:w="100" w:type="dxa"/>
              <w:end w:w="120" w:type="dxa"/>
            </w:tcMar>
            <w:vAlign w:val="center"/>
            <w:shd w:fill="FAFBFC"/>
          </w:tcPr>
          <w:p>
            <w:r>
              <w:rPr>
                <w:rFonts w:ascii="Arial" w:hAnsi="Arial" w:eastAsia="Arial"/>
                <w:b w:val="0"/>
                <w:color w:val="111111"/>
                <w:sz w:val="16"/>
              </w:rPr>
              <w:t>lib/integrations/http.ts; lib/persistence-diagnostics.ts; app/api/client-errors/route.ts; app/api/issues/route.ts</w:t>
            </w:r>
          </w:p>
        </w:tc>
      </w:tr>
      <w:tr>
        <w:tc>
          <w:tcPr>
            <w:tcW w:type="dxa" w:w="2520"/>
            <w:tcMar>
              <w:top w:w="100" w:type="dxa"/>
              <w:start w:w="120" w:type="dxa"/>
              <w:bottom w:w="100" w:type="dxa"/>
              <w:end w:w="120" w:type="dxa"/>
            </w:tcMar>
            <w:vAlign w:val="center"/>
            <w:shd w:fill="E8EFF4"/>
          </w:tcPr>
          <w:p>
            <w:r>
              <w:rPr>
                <w:rFonts w:ascii="Arial" w:hAnsi="Arial" w:eastAsia="Arial"/>
                <w:b w:val="0"/>
                <w:color w:val="111111"/>
                <w:sz w:val="18"/>
              </w:rPr>
              <w:t>Deployment and tenant boundary</w:t>
            </w:r>
          </w:p>
        </w:tc>
        <w:tc>
          <w:tcPr>
            <w:tcW w:type="dxa" w:w="7488"/>
            <w:tcMar>
              <w:top w:w="100" w:type="dxa"/>
              <w:start w:w="120" w:type="dxa"/>
              <w:bottom w:w="100" w:type="dxa"/>
              <w:end w:w="120" w:type="dxa"/>
            </w:tcMar>
            <w:vAlign w:val="center"/>
            <w:shd w:fill="FFFFFF"/>
          </w:tcPr>
          <w:p>
            <w:r>
              <w:rPr>
                <w:rFonts w:ascii="Arial" w:hAnsi="Arial" w:eastAsia="Arial"/>
                <w:b w:val="0"/>
                <w:color w:val="111111"/>
                <w:sz w:val="16"/>
              </w:rPr>
              <w:t>next.config.mjs; Documents/COMPANY_REGISTRATION_AND_TENANCY.md; Documents/DATABASE_MANAGEMENT.md; Documents/EXTERNAL_API_INTEGRATIONS.md</w:t>
            </w:r>
          </w:p>
        </w:tc>
      </w:tr>
      <w:tr>
        <w:tc>
          <w:tcPr>
            <w:tcW w:type="dxa" w:w="2520"/>
            <w:tcMar>
              <w:top w:w="100" w:type="dxa"/>
              <w:start w:w="120" w:type="dxa"/>
              <w:bottom w:w="100" w:type="dxa"/>
              <w:end w:w="120" w:type="dxa"/>
            </w:tcMar>
            <w:vAlign w:val="center"/>
            <w:shd w:fill="F4F7F9"/>
          </w:tcPr>
          <w:p>
            <w:r>
              <w:rPr>
                <w:rFonts w:ascii="Arial" w:hAnsi="Arial" w:eastAsia="Arial"/>
                <w:b w:val="0"/>
                <w:color w:val="111111"/>
                <w:sz w:val="18"/>
              </w:rPr>
              <w:t>Testing and release</w:t>
            </w:r>
          </w:p>
        </w:tc>
        <w:tc>
          <w:tcPr>
            <w:tcW w:type="dxa" w:w="7488"/>
            <w:tcMar>
              <w:top w:w="100" w:type="dxa"/>
              <w:start w:w="120" w:type="dxa"/>
              <w:bottom w:w="100" w:type="dxa"/>
              <w:end w:w="120" w:type="dxa"/>
            </w:tcMar>
            <w:vAlign w:val="center"/>
            <w:shd w:fill="FAFBFC"/>
          </w:tcPr>
          <w:p>
            <w:r>
              <w:rPr>
                <w:rFonts w:ascii="Arial" w:hAnsi="Arial" w:eastAsia="Arial"/>
                <w:b w:val="0"/>
                <w:color w:val="111111"/>
                <w:sz w:val="16"/>
              </w:rPr>
              <w:t>package.json; Vitest route tests under app/api; Documents/ROLE_WORKSPACES.md; Development release commit f056019</w:t>
            </w:r>
          </w:p>
        </w:tc>
      </w:tr>
    </w:tbl>
    <w:p>
      <w:pPr>
        <w:spacing w:before="240"/>
      </w:pPr>
      <w:r>
        <w:rPr>
          <w:rFonts w:ascii="Arial" w:hAnsi="Arial" w:eastAsia="Arial"/>
          <w:b w:val="0"/>
          <w:color w:val="111111"/>
          <w:sz w:val="21"/>
        </w:rPr>
        <w:t>Verification note</w:t>
      </w:r>
    </w:p>
    <w:p>
      <w:r>
        <w:rPr>
          <w:rFonts w:ascii="Arial" w:hAnsi="Arial" w:eastAsia="Arial"/>
          <w:b w:val="0"/>
          <w:color w:val="111111"/>
          <w:sz w:val="22"/>
        </w:rPr>
        <w:t>The source snapshot and repository documentation were inspected for this guide. The Development verification result was recorded as TypeScript success, 551 passing tests in 112 files, and successful next build. No production deployment, external API connection, or multi-company isolation test is implied by that result.</w:t>
      </w:r>
    </w:p>
    <w:sectPr w:rsidR="00FC693F" w:rsidRPr="0006063C" w:rsidSect="00034616">
      <w:headerReference w:type="default" r:id="rId9"/>
      <w:footerReference w:type="default" r:id="rId10"/>
      <w:pgSz w:w="12240" w:h="15840"/>
      <w:pgMar w:top="893"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000000"/>
        <w:sz w:val="16"/>
      </w:rPr>
      <w:t xml:space="preserve">Development snapshot  •  18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000000"/>
        <w:sz w:val="16"/>
      </w:rPr>
      <w:t>TANOVO TIME  /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4"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eastAsia="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0" w:after="10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4" w:lineRule="auto"/>
    </w:pPr>
    <w:rPr>
      <w:rFonts w:ascii="Arial" w:hAnsi="Arial" w:eastAsia="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Tanovo Time Block Level Implementation Guide</dc:title>
  <dc:subject>Source-grounded application implementation, request flows, and operational boundaries</dc:subject>
  <dc:creator>Tanovo Time Engineering</dc:creator>
  <cp:keywords>Tanovo Time, architecture, implementation, roles, timesheets, AI, security</cp:keywords>
  <dc:description>generated by python-docx</dc:description>
  <cp:lastModifiedBy/>
  <cp:revision>1</cp:revision>
  <dcterms:created xsi:type="dcterms:W3CDTF">2013-12-23T23:15:00Z</dcterms:created>
  <dcterms:modified xsi:type="dcterms:W3CDTF">2013-12-23T23:15:00Z</dcterms:modified>
  <cp:category/>
</cp:coreProperties>
</file>