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8.jpg" ContentType="image/jpeg"/>
  <Override PartName="/word/media/rId209.png" ContentType="image/png"/>
  <Override PartName="/word/media/rId210.png" ContentType="image/png"/>
  <Override PartName="/word/media/rId149.png" ContentType="image/png"/>
  <Override PartName="/word/media/rId132.jpg" ContentType="image/jpeg"/>
  <Override PartName="/word/media/rId145.png" ContentType="image/png"/>
  <Override PartName="/word/media/rId157.png" ContentType="image/png"/>
  <Override PartName="/word/media/rId183.jpg" ContentType="image/jpeg"/>
  <Override PartName="/word/media/rId239.png" ContentType="image/png"/>
  <Override PartName="/word/media/rId249.png" ContentType="image/png"/>
  <Override PartName="/word/media/rId288.jpg" ContentType="image/jpeg"/>
  <Override PartName="/word/media/rId29.png" ContentType="image/png"/>
  <Override PartName="/word/media/rId51.png" ContentType="image/png"/>
  <Override PartName="/word/media/rId31.png" ContentType="image/png"/>
  <Override PartName="/word/media/rId52.png" ContentType="image/png"/>
  <Override PartName="/word/media/rId86.png" ContentType="image/png"/>
  <Override PartName="/word/media/rId56.jpg" ContentType="image/jpeg"/>
  <Override PartName="/word/media/rId62.jpg" ContentType="image/jpeg"/>
  <Override PartName="/word/media/rId22.png" ContentType="image/png"/>
  <Override PartName="/word/media/rId60.jpg" ContentType="image/jpeg"/>
  <Override PartName="/word/media/rId58.jpg" ContentType="image/jpeg"/>
  <Override PartName="/word/media/rId48.png" ContentType="image/png"/>
  <Override PartName="/word/media/rId25.png" ContentType="image/png"/>
  <Override PartName="/word/media/rId75.png" ContentType="image/png"/>
  <Override PartName="/word/media/rId68.png" ContentType="image/png"/>
  <Override PartName="/word/media/rId47.png" ContentType="image/png"/>
  <Override PartName="/word/media/rId32.png" ContentType="image/png"/>
  <Override PartName="/word/media/rId34.png" ContentType="image/png"/>
  <Override PartName="/word/media/rId39.png" ContentType="image/png"/>
  <Override PartName="/word/media/rId37.png" ContentType="image/png"/>
  <Override PartName="/word/media/rId49.png" ContentType="image/png"/>
  <Override PartName="/word/media/rId40.png" ContentType="image/png"/>
  <Override PartName="/word/media/rId50.png" ContentType="image/png"/>
  <Override PartName="/word/media/rId53.png" ContentType="image/png"/>
  <Override PartName="/word/media/rId228.png" ContentType="image/png"/>
  <Override PartName="/word/media/rId42.png" ContentType="image/png"/>
  <Override PartName="/word/media/rId54.png" ContentType="image/png"/>
  <Override PartName="/word/media/rId55.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1" w:name="preface"/>
      <w:bookmarkEnd w:id="21"/>
      <w:r>
        <w:t xml:space="preserve">Preface</w:t>
      </w:r>
    </w:p>
    <w:p>
      <w:pPr>
        <w:pStyle w:val="Figure"/>
      </w:pPr>
      <w:r>
        <w:drawing>
          <wp:inline>
            <wp:extent cx="1918321" cy="1918321"/>
            <wp:effectExtent b="0" l="0" r="0" t="0"/>
            <wp:docPr descr="" title="" id="1" name="Picture"/>
            <a:graphic>
              <a:graphicData uri="http://schemas.openxmlformats.org/drawingml/2006/picture">
                <pic:pic>
                  <pic:nvPicPr>
                    <pic:cNvPr descr="images/coverOTL300x300.png" id="0" name="Picture"/>
                    <pic:cNvPicPr>
                      <a:picLocks noChangeArrowheads="1" noChangeAspect="1"/>
                    </pic:cNvPicPr>
                  </pic:nvPicPr>
                  <pic:blipFill>
                    <a:blip r:embed="rId22"/>
                    <a:stretch>
                      <a:fillRect/>
                    </a:stretch>
                  </pic:blipFill>
                  <pic:spPr bwMode="auto">
                    <a:xfrm>
                      <a:off x="0" y="0"/>
                      <a:ext cx="1918321" cy="1918321"/>
                    </a:xfrm>
                    <a:prstGeom prst="rect">
                      <a:avLst/>
                    </a:prstGeom>
                    <a:noFill/>
                    <a:ln w="9525">
                      <a:noFill/>
                      <a:headEnd/>
                      <a:tailEnd/>
                    </a:ln>
                  </pic:spPr>
                </pic:pic>
              </a:graphicData>
            </a:graphic>
          </wp:inline>
        </w:drawing>
      </w:r>
    </w:p>
    <w:p>
      <w:pPr>
        <w:pStyle w:val="FirstParagraph"/>
      </w:pPr>
      <w:r>
        <w:rPr>
          <w:b/>
        </w:rPr>
        <w:t xml:space="preserve">This book-in-progress</w:t>
      </w:r>
      <w:r>
        <w:t xml:space="preserve"> </w:t>
      </w:r>
      <w:r>
        <w:t xml:space="preserve">was last updated on 2019-02-12</w:t>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3" w:name="about-the-book"/>
      <w:bookmarkEnd w:id="23"/>
      <w:r>
        <w:t xml:space="preserve">About the book</w:t>
      </w:r>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4" w:name="authors-and-contributors"/>
      <w:bookmarkEnd w:id="24"/>
      <w:r>
        <w:t xml:space="preserve">Authors and Contributors</w:t>
      </w:r>
    </w:p>
    <w:tbl>
      <w:tblPr>
        <w:tblStyle w:val="TableNormal"/>
        <w:tblW w:type="pct" w:w="1944.4444444444446"/>
        <w:tblLook/>
      </w:tblPr>
      <w:tblGrid>
        <w:gridCol w:w="1540"/>
        <w:gridCol w:w="154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5"/>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6">
              <w:r>
                <w:rPr>
                  <w:rStyle w:val="Hyperlink"/>
                </w:rPr>
                <w:t xml:space="preserve">faculty profile page</w:t>
              </w:r>
            </w:hyperlink>
            <w:r>
              <w:t xml:space="preserve">, or follow him</w:t>
            </w:r>
            <w:r>
              <w:t xml:space="preserve"> </w:t>
            </w:r>
            <w:hyperlink r:id="rId27">
              <w:r>
                <w:rPr>
                  <w:rStyle w:val="Hyperlink"/>
                </w:rPr>
                <w:t xml:space="preserve">on Twitter</w:t>
              </w:r>
            </w:hyperlink>
            <w:r>
              <w:t xml:space="preserve"> </w:t>
            </w:r>
            <w:r>
              <w:t xml:space="preserve">or</w:t>
            </w:r>
            <w:r>
              <w:t xml:space="preserve"> </w:t>
            </w:r>
            <w:hyperlink r:id="rId28">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30">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1"/>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2"/>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3">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5">
              <w:r>
                <w:rPr>
                  <w:rStyle w:val="Hyperlink"/>
                </w:rPr>
                <w:t xml:space="preserve">Restricting with Property Covenants</w:t>
              </w:r>
            </w:hyperlink>
            <w:r>
              <w:t xml:space="preserve">,</w:t>
            </w:r>
            <w:r>
              <w:t xml:space="preserve"> </w:t>
            </w:r>
            <w:hyperlink r:id="rId36">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7"/>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8">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9"/>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6">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40"/>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1">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2"/>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3">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4"/>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5">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5">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6">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8"/>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2"/>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3"/>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5"/>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6"/>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7">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8"/>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9">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60"/>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1">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2"/>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3">
              <w:r>
                <w:rPr>
                  <w:rStyle w:val="Hyperlink"/>
                </w:rPr>
                <w:t xml:space="preserve">https://www.uncpress.org/book/9780807855249/more-than-one-struggle/</w:t>
              </w:r>
            </w:hyperlink>
          </w:p>
        </w:tc>
      </w:tr>
    </w:tbl>
    <w:p>
      <w:pPr>
        <w:pStyle w:val="Heading2"/>
      </w:pPr>
      <w:bookmarkStart w:id="64" w:name="acknowledgements"/>
      <w:bookmarkEnd w:id="64"/>
      <w:r>
        <w:t xml:space="preserve">Acknowledgements</w:t>
      </w:r>
    </w:p>
    <w:p>
      <w:pPr>
        <w:pStyle w:val="FirstParagraph"/>
      </w:pPr>
      <w:r>
        <w:t xml:space="preserve">TO COME</w:t>
      </w:r>
    </w:p>
    <w:p>
      <w:pPr>
        <w:pStyle w:val="Heading2"/>
      </w:pPr>
      <w:bookmarkStart w:id="65" w:name="how-to-read"/>
      <w:bookmarkEnd w:id="65"/>
      <w:r>
        <w:t xml:space="preserve">How to Read</w:t>
      </w:r>
    </w:p>
    <w:p>
      <w:pPr>
        <w:pStyle w:val="FirstParagraph"/>
      </w:pPr>
      <w:r>
        <w:t xml:space="preserve">Read the text in any format below. But this digital-first book (with interactive maps, videos, and source links) is best experienced in the web edition (</w:t>
      </w:r>
      <w:hyperlink r:id="rId66">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7">
        <w:r>
          <w:rPr>
            <w:rStyle w:val="Hyperlink"/>
          </w:rPr>
          <w:t xml:space="preserve">GitHub</w:t>
        </w:r>
      </w:hyperlink>
      <w:r>
        <w:t xml:space="preserve"> </w:t>
      </w:r>
      <w:r>
        <w:t xml:space="preserve">account)</w:t>
      </w:r>
    </w:p>
    <w:p>
      <w:pPr>
        <w:pStyle w:val="Compact"/>
        <w:numPr>
          <w:numId w:val="1002"/>
          <w:ilvl w:val="0"/>
        </w:numPr>
      </w:pPr>
      <w:r>
        <w:t xml:space="preserve">Download</w:t>
      </w:r>
    </w:p>
    <w:p>
      <w:pPr>
        <w:pStyle w:val="FigureWithCaption"/>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8"/>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9" w:name="how-to-cite"/>
      <w:bookmarkEnd w:id="69"/>
      <w:r>
        <w:t xml:space="preserve">How to Cite</w:t>
      </w:r>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6">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70">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6">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70">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1">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2">
        <w:r>
          <w:rPr>
            <w:rStyle w:val="Hyperlink"/>
          </w:rPr>
          <w:t xml:space="preserve">http://archive.org</w:t>
        </w:r>
      </w:hyperlink>
      <w:r>
        <w:t xml:space="preserve">) to see the most recent version of this site.</w:t>
      </w:r>
      <w:r>
        <w:t xml:space="preserve"> </w:t>
      </w:r>
      <w:hyperlink r:id="rId73">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4" w:name="copyright-with-open-access"/>
      <w:bookmarkEnd w:id="74"/>
      <w:r>
        <w:t xml:space="preserve">Copyright with Open Access</w:t>
      </w:r>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5"/>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6">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7">
        <w:r>
          <w:rPr>
            <w:rStyle w:val="Hyperlink"/>
          </w:rPr>
          <w:t xml:space="preserve">MIT license</w:t>
        </w:r>
      </w:hyperlink>
      <w:r>
        <w:t xml:space="preserve">. Learn how to work with GitHub and create your own charts and maps in Data Visualization for All (</w:t>
      </w:r>
      <w:hyperlink r:id="rId78">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1">
        <w:r>
          <w:rPr>
            <w:rStyle w:val="Hyperlink"/>
          </w:rPr>
          <w:t xml:space="preserve">OnTheLine.trincoll.edu</w:t>
        </w:r>
      </w:hyperlink>
      <w:r>
        <w:t xml:space="preserve"> </w:t>
      </w:r>
      <w:r>
        <w:t xml:space="preserve">by Jack Dougherty and contributors.</w:t>
      </w:r>
    </w:p>
    <w:p>
      <w:pPr>
        <w:pStyle w:val="Heading1"/>
      </w:pPr>
      <w:bookmarkStart w:id="79" w:name="introduction"/>
      <w:bookmarkEnd w:id="79"/>
      <w:r>
        <w:t xml:space="preserve">My Introduction to the Lines</w:t>
      </w:r>
    </w:p>
    <w:p>
      <w:pPr>
        <w:pStyle w:val="Heading2"/>
      </w:pPr>
      <w:bookmarkStart w:id="80" w:name="learning-my-lines"/>
      <w:bookmarkEnd w:id="80"/>
      <w:r>
        <w:t xml:space="preserve">Learning My Lines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2" w:name="bridging-the-history-gap"/>
      <w:bookmarkEnd w:id="82"/>
      <w:r>
        <w:t xml:space="preserve">Bridging the History Gap</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3"/>
      </w:r>
    </w:p>
    <w:p>
      <w:pPr>
        <w:pStyle w:val="Heading2"/>
      </w:pPr>
      <w:bookmarkStart w:id="84" w:name="outline-of-the-book"/>
      <w:bookmarkEnd w:id="84"/>
      <w:r>
        <w:t xml:space="preserve">Outline of the Book</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bookmarkEnd w:id="8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90" w:name="defining"/>
      <w:bookmarkEnd w:id="90"/>
      <w:r>
        <w:t xml:space="preserve">Defining City and Suburban Lines</w:t>
      </w:r>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bookmarkEnd w:id="91"/>
      <w:r>
        <w:t xml:space="preserve">The Richest City in the Nation</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3" w:name="scroll-the-source-hartford-as-the-richest-city-in-the-united-states-1876"/>
      <w:bookmarkEnd w:id="93"/>
      <w:r>
        <w:t xml:space="preserve">Scroll the Source: Hartford as</w:t>
      </w:r>
      <w:r>
        <w:t xml:space="preserve"> </w:t>
      </w:r>
      <w:r>
        <w:t xml:space="preserve">“</w:t>
      </w:r>
      <w:r>
        <w:t xml:space="preserve">The Richest City in the United States,</w:t>
      </w:r>
      <w:r>
        <w:t xml:space="preserve">”</w:t>
      </w:r>
      <w:r>
        <w:t xml:space="preserve"> </w:t>
      </w:r>
      <w:r>
        <w:t xml:space="preserve">1876</w:t>
      </w:r>
    </w:p>
    <w:p>
      <w:pPr>
        <w:pStyle w:val="FirstParagraph"/>
      </w:pPr>
      <w:r>
        <w:rPr>
          <w:i/>
        </w:rPr>
        <w:t xml:space="preserve">Scroll through</w:t>
      </w:r>
      <w:r>
        <w:rPr>
          <w:i/>
        </w:rPr>
        <w:t xml:space="preserve"> </w:t>
      </w:r>
      <w:hyperlink r:id="rId94">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5"/>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6"/>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97"/>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98"/>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0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01"/>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02"/>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03"/>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04"/>
      </w:r>
    </w:p>
    <w:p>
      <w:pPr>
        <w:pStyle w:val="Heading4"/>
      </w:pPr>
      <w:bookmarkStart w:id="105" w:name="explore-the-map-home-values-in-hartford-county-1910-2010"/>
      <w:bookmarkEnd w:id="105"/>
      <w:r>
        <w:t xml:space="preserve">Explore the Map: Home Values in Hartford County, 1910-2010</w:t>
      </w:r>
    </w:p>
    <w:p>
      <w:pPr>
        <w:pStyle w:val="FirstParagraph"/>
      </w:pPr>
      <w:r>
        <w:rPr>
          <w:i/>
        </w:rPr>
        <w:t xml:space="preserve">Follow the money in this</w:t>
      </w:r>
      <w:r>
        <w:rPr>
          <w:i/>
        </w:rPr>
        <w:t xml:space="preserve"> </w:t>
      </w:r>
      <w:hyperlink r:id="rId106">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07">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08"/>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09" w:name="carving-up-town-boundaries"/>
      <w:bookmarkEnd w:id="109"/>
      <w:r>
        <w:t xml:space="preserve">Carving Up Town Boundaries</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TEXT TO COME</w:t>
      </w:r>
    </w:p>
    <w:p>
      <w:pPr>
        <w:pStyle w:val="Heading5"/>
      </w:pPr>
      <w:bookmarkStart w:id="110" w:name="scroll-the-map-town-borders-in-hartford-county-over-time"/>
      <w:bookmarkEnd w:id="110"/>
      <w:r>
        <w:t xml:space="preserve">Scroll the Map: Town Borders in Hartford County Over Time</w:t>
      </w:r>
    </w:p>
    <w:p>
      <w:pPr>
        <w:pStyle w:val="FirstParagraph"/>
      </w:pPr>
      <w:r>
        <w:rPr>
          <w:i/>
        </w:rPr>
        <w:t xml:space="preserve">Scroll down the narrative (or click and use arrow keys) in this</w:t>
      </w:r>
      <w:r>
        <w:rPr>
          <w:i/>
        </w:rPr>
        <w:t xml:space="preserve"> </w:t>
      </w:r>
      <w:hyperlink r:id="rId111">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115"/>
      </w:r>
    </w:p>
    <w:p>
      <w:pPr>
        <w:pStyle w:val="Heading2"/>
      </w:pPr>
      <w:bookmarkStart w:id="117" w:name="a-golden-age-for-city-schools"/>
      <w:bookmarkEnd w:id="117"/>
      <w:r>
        <w:t xml:space="preserve">A Golden Age for City Schools</w:t>
      </w:r>
    </w:p>
    <w:p>
      <w:pPr>
        <w:pStyle w:val="FirstParagraph"/>
      </w:pPr>
      <w:r>
        <w:t xml:space="preserve">TO COME</w:t>
      </w:r>
    </w:p>
    <w:p>
      <w:pPr>
        <w:pStyle w:val="Heading2"/>
      </w:pPr>
      <w:bookmarkStart w:id="118" w:name="challenges-for-rural-and-suburban-schools"/>
      <w:bookmarkEnd w:id="118"/>
      <w:r>
        <w:t xml:space="preserve">Challenges for Rural and Suburban Schools</w:t>
      </w:r>
    </w:p>
    <w:p>
      <w:pPr>
        <w:pStyle w:val="FirstParagraph"/>
      </w:pPr>
      <w:r>
        <w:t xml:space="preserve">TO COME</w:t>
      </w:r>
    </w:p>
    <w:p>
      <w:pPr>
        <w:pStyle w:val="Heading4"/>
      </w:pPr>
      <w:bookmarkStart w:id="119" w:name="about-this-book-1"/>
      <w:bookmarkEnd w:id="1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120" w:name="separating"/>
      <w:bookmarkEnd w:id="120"/>
      <w:r>
        <w:t xml:space="preserve">Separating with Color and Class Lines</w:t>
      </w:r>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21" w:name="federal-lending-and-redlining"/>
      <w:bookmarkEnd w:id="121"/>
      <w:r>
        <w:t xml:space="preserve">Federal Lending and Redlining</w:t>
      </w:r>
    </w:p>
    <w:p>
      <w:pPr>
        <w:pStyle w:val="FirstParagraph"/>
      </w:pPr>
      <w:r>
        <w:rPr>
          <w:i/>
        </w:rPr>
        <w:t xml:space="preserve">by</w:t>
      </w:r>
      <w:r>
        <w:rPr>
          <w:i/>
        </w:rPr>
        <w:t xml:space="preserve"> </w:t>
      </w:r>
      <w:hyperlink r:id="rId81">
        <w:r>
          <w:rPr>
            <w:rStyle w:val="Hyperlink"/>
            <w:i/>
          </w:rPr>
          <w:t xml:space="preserve">Shaun McGann and Jack Dougherty</w:t>
        </w:r>
      </w:hyperlink>
    </w:p>
    <w:p>
      <w:pPr>
        <w:pStyle w:val="BodyText"/>
      </w:pPr>
      <w:r>
        <w:rPr>
          <w:i/>
        </w:rPr>
        <w:t xml:space="preserve">TODO: update with 3.3a and b</w:t>
      </w:r>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22"/>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23"/>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28"/>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29"/>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31"/>
      </w:r>
    </w:p>
    <w:p>
      <w:pPr>
        <w:pStyle w:val="FigureWithCaption"/>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32"/>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33">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34"/>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37"/>
      </w:r>
    </w:p>
    <w:p>
      <w:pPr>
        <w:pStyle w:val="Heading5"/>
      </w:pPr>
      <w:bookmarkStart w:id="138" w:name="explore-the-map-federal-holc-redlining-in-hartford-area-1937"/>
      <w:bookmarkEnd w:id="138"/>
      <w:r>
        <w:t xml:space="preserve">Explore the Map: Federal HOLC</w:t>
      </w:r>
      <w:r>
        <w:t xml:space="preserve"> </w:t>
      </w:r>
      <w:r>
        <w:t xml:space="preserve">“</w:t>
      </w:r>
      <w:r>
        <w:t xml:space="preserve">Redlining</w:t>
      </w:r>
      <w:r>
        <w:t xml:space="preserve">”</w:t>
      </w:r>
      <w:r>
        <w:t xml:space="preserve"> </w:t>
      </w:r>
      <w:r>
        <w:t xml:space="preserve">in Hartford area, 1937</w:t>
      </w:r>
    </w:p>
    <w:p>
      <w:pPr>
        <w:pStyle w:val="FirstParagraph"/>
      </w:pPr>
      <w:r>
        <w:rPr>
          <w:i/>
        </w:rPr>
        <w:t xml:space="preserve">Click on color-coded areas in this</w:t>
      </w:r>
      <w:r>
        <w:rPr>
          <w:i/>
        </w:rPr>
        <w:t xml:space="preserve"> </w:t>
      </w:r>
      <w:hyperlink r:id="rId139">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40">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41"/>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43"/>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44"/>
      </w:r>
    </w:p>
    <w:p>
      <w:pPr>
        <w:pStyle w:val="FigureWithCaption"/>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45"/>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46">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47"/>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48" w:name="restricting-with-fha"/>
      <w:bookmarkEnd w:id="148"/>
      <w:r>
        <w:t xml:space="preserve">Restricting with FHA</w:t>
      </w:r>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FigureWithCaption"/>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49"/>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50">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51"/>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t xml:space="preserve"/>
      </w:r>
      <w:r>
        <w:rPr>
          <w:rStyle w:val="FootnoteReference"/>
        </w:rPr>
        <w:footnoteReference w:id="152"/>
      </w:r>
    </w:p>
    <w:p>
      <w:pPr>
        <w:pStyle w:val="Heading5"/>
      </w:pPr>
      <w:bookmarkStart w:id="153" w:name="scroll-the-source-race-and-class-in-the-fha-underwriting-manual-1936"/>
      <w:bookmarkEnd w:id="153"/>
      <w:r>
        <w:t xml:space="preserve">Scroll the Source: Race and Class in the FHA Underwriting Manual, 1936</w:t>
      </w:r>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54">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55"/>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56"/>
      </w:r>
    </w:p>
    <w:p>
      <w:pPr>
        <w:pStyle w:val="FigureWithCaption"/>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57"/>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58">
        <w:r>
          <w:rPr>
            <w:rStyle w:val="Hyperlink"/>
          </w:rPr>
          <w:t xml:space="preserve">1938 FHA Underwriting Manual</w:t>
        </w:r>
      </w:hyperlink>
      <w:r>
        <w:t xml:space="preserve">.</w:t>
      </w:r>
      <w:r>
        <w:rPr>
          <w:rStyle w:val="FootnoteReference"/>
        </w:rPr>
        <w:footnoteReference w:id="159"/>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60"/>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62" w:name="compare-the-columns-holc-appraisals-in-areas-b5-vs.c9-hartford-1937"/>
      <w:bookmarkEnd w:id="162"/>
      <w:r>
        <w:t xml:space="preserve">Compare the columns: HOLC Appraisals in Areas B5 vs. C9, Hartford 1937</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63"/>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64"/>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65"/>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66"/>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1">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67"/>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69"/>
      </w:r>
    </w:p>
    <w:p>
      <w:pPr>
        <w:pStyle w:val="Heading2"/>
      </w:pPr>
      <w:bookmarkStart w:id="170" w:name="restricting-with-property-covenants"/>
      <w:bookmarkEnd w:id="170"/>
      <w:r>
        <w:t xml:space="preserve">Restricting with Property Covenants</w:t>
      </w:r>
    </w:p>
    <w:p>
      <w:pPr>
        <w:pStyle w:val="FirstParagraph"/>
      </w:pPr>
      <w:r>
        <w:rPr>
          <w:i/>
        </w:rPr>
        <w:t xml:space="preserve">by</w:t>
      </w:r>
      <w:r>
        <w:rPr>
          <w:i/>
        </w:rPr>
        <w:t xml:space="preserve"> </w:t>
      </w:r>
      <w:hyperlink r:id="rId81">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71"/>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73" w:name="explore-the-map-restrictive-covenants-in-hartford-area-1940s"/>
      <w:bookmarkEnd w:id="173"/>
      <w:r>
        <w:t xml:space="preserve">Explore the Map: Restrictive Covenants in Hartford area, 1940s</w:t>
      </w:r>
    </w:p>
    <w:p>
      <w:pPr>
        <w:pStyle w:val="FirstParagraph"/>
      </w:pPr>
      <w:r>
        <w:rPr>
          <w:i/>
        </w:rPr>
        <w:t xml:space="preserve">Click on colored rectangles in this</w:t>
      </w:r>
      <w:r>
        <w:rPr>
          <w:i/>
        </w:rPr>
        <w:t xml:space="preserve"> </w:t>
      </w:r>
      <w:hyperlink r:id="rId174">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75">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176"/>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177">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178"/>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181"/>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182"/>
      </w:r>
    </w:p>
    <w:p>
      <w:pPr>
        <w:pStyle w:val="FigureWithCaption"/>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183"/>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184"/>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185"/>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186"/>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189"/>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191"/>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194"/>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196" w:name="watch-the-video-debra-walsh-oral-history-interview-2011"/>
      <w:bookmarkEnd w:id="196"/>
      <w:r>
        <w:t xml:space="preserve">Watch the Video: Debra Walsh Oral History Interview, 2011</w:t>
      </w:r>
    </w:p>
    <w:p>
      <w:pPr>
        <w:pStyle w:val="FirstParagraph"/>
      </w:pPr>
      <w:r>
        <w:rPr>
          <w:i/>
        </w:rPr>
        <w:t xml:space="preserve">Watch the</w:t>
      </w:r>
      <w:r>
        <w:rPr>
          <w:i/>
        </w:rPr>
        <w:t xml:space="preserve"> </w:t>
      </w:r>
      <w:hyperlink r:id="rId197">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198"/>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199" w:name="watch-the-video-susan-hansen-oral-history-interview-2011"/>
      <w:bookmarkEnd w:id="199"/>
      <w:r>
        <w:t xml:space="preserve">Watch the Video: Susan Hansen Oral History Interview, 2011</w:t>
      </w:r>
    </w:p>
    <w:p>
      <w:pPr>
        <w:pStyle w:val="FirstParagraph"/>
      </w:pPr>
      <w:r>
        <w:rPr>
          <w:i/>
        </w:rPr>
        <w:t xml:space="preserve">Watch the</w:t>
      </w:r>
      <w:r>
        <w:rPr>
          <w:i/>
        </w:rPr>
        <w:t xml:space="preserve"> </w:t>
      </w:r>
      <w:hyperlink r:id="rId200">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01"/>
      </w:r>
    </w:p>
    <w:p>
      <w:pPr>
        <w:pStyle w:val="BodyText"/>
      </w:pPr>
      <w:hyperlink r:id="rId81">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02"/>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03"/>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2"/>
      </w:pPr>
      <w:bookmarkStart w:id="205" w:name="origins-of-exclusionary-zoning"/>
      <w:bookmarkEnd w:id="205"/>
      <w:r>
        <w:t xml:space="preserve">Origins of Exclusionary Zoning</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TODO: revise and expand draft with notes from Scriv, update maps, images</w:t>
      </w:r>
    </w:p>
    <w:p>
      <w:pPr>
        <w:pStyle w:val="BodyText"/>
      </w:pPr>
      <w:r>
        <w:t xml:space="preserve">During the 1920s, several states granted local governments a new policy tool—known as municipal zoning—to exert greater control over land development. But tools can be used to achieve different goals. We can use them to help people or cause harm. Evaluating the history of zoning requires a closer look at how local governments implemented this policy, and to what ends.</w:t>
      </w:r>
    </w:p>
    <w:p>
      <w:pPr>
        <w:pStyle w:val="BodyText"/>
      </w:pPr>
      <w:r>
        <w:t xml:space="preserve">Progressive advocates saw zoning as a necessary tool for government to regulate the free market and to protect the health and safety of its citizens. For example, zoning gave municipalities the power to draw lines on the land and create separate spaces for residential, commercial, and industrial development. Family homes could be legally separated from potentially harmful businesses or factories. When the Connecticut General Assembly approved zoning enabling law in 1923, it stated that local regulations should be designed for this purpose:</w:t>
      </w:r>
      <w:r>
        <w:t xml:space="preserve"> </w:t>
      </w:r>
      <w:r>
        <w:t xml:space="preserve">“</w:t>
      </w:r>
      <w:r>
        <w:t xml:space="preserve">… to prevent a close arrangement or constructions of buildings upon the streets, to secure safety from fire and other dangers, to avoid undue concentration of population and to provide health, comfort and general welfare in living and working conditions.</w:t>
      </w:r>
      <w:r>
        <w:t xml:space="preserve">”</w:t>
      </w:r>
      <w:r>
        <w:rPr>
          <w:rStyle w:val="FootnoteReference"/>
        </w:rPr>
        <w:footnoteReference w:id="206"/>
      </w:r>
    </w:p>
    <w:p>
      <w:pPr>
        <w:pStyle w:val="BodyText"/>
      </w:pPr>
      <w:r>
        <w:t xml:space="preserve">But local governments often crafted zoning ordinances to achieve other, less innocent goals. Some wrote local ordinances that made housing construction in selected neighborhoods affordable only for upper-class families, thereby blocking out lower-income families. Today we call this</w:t>
      </w:r>
      <w:r>
        <w:t xml:space="preserve"> </w:t>
      </w:r>
      <w:r>
        <w:t xml:space="preserve">“</w:t>
      </w:r>
      <w:r>
        <w:t xml:space="preserve">exclusionary zoning</w:t>
      </w:r>
      <w:r>
        <w:t xml:space="preserve">”</w:t>
      </w:r>
      <w:r>
        <w:t xml:space="preserve"> </w:t>
      </w:r>
      <w:r>
        <w:t xml:space="preserve">and its roots can be traced back nearly a century ago.</w:t>
      </w:r>
    </w:p>
    <w:p>
      <w:pPr>
        <w:pStyle w:val="BodyText"/>
      </w:pPr>
      <w:r>
        <w:t xml:space="preserve">West Hartford became the first Connecticut town to enact municipal zoning in 1924, immediately after the state granted this power. Town leaders hired Robert Whitten, a consultant from Cleveland, Ohio, to guide this process. He drafted West Hartford’s first zoning guidelines, which emphasized how these land-use laws would bring</w:t>
      </w:r>
      <w:r>
        <w:t xml:space="preserve"> </w:t>
      </w:r>
      <w:r>
        <w:t xml:space="preserve">“</w:t>
      </w:r>
      <w:r>
        <w:t xml:space="preserve">orderliness</w:t>
      </w:r>
      <w:r>
        <w:t xml:space="preserve">”</w:t>
      </w:r>
      <w:r>
        <w:t xml:space="preserve"> </w:t>
      </w:r>
      <w:r>
        <w:t xml:space="preserve">and</w:t>
      </w:r>
      <w:r>
        <w:t xml:space="preserve"> </w:t>
      </w:r>
      <w:r>
        <w:t xml:space="preserve">“</w:t>
      </w:r>
      <w:r>
        <w:t xml:space="preserve">efficiency</w:t>
      </w:r>
      <w:r>
        <w:t xml:space="preserve">”</w:t>
      </w:r>
      <w:r>
        <w:t xml:space="preserve"> </w:t>
      </w:r>
      <w:r>
        <w:t xml:space="preserve">to real estate development in this rapidly growing suburb,</w:t>
      </w:r>
      <w:r>
        <w:t xml:space="preserve"> </w:t>
      </w:r>
      <w:r>
        <w:t xml:space="preserve">“</w:t>
      </w:r>
      <w:r>
        <w:t xml:space="preserve">and an increase of health, comfort and happiness for all people.</w:t>
      </w:r>
      <w:r>
        <w:t xml:space="preserve">”</w:t>
      </w:r>
      <w:r>
        <w:rPr>
          <w:rStyle w:val="FootnoteReference"/>
        </w:rPr>
        <w:footnoteReference w:id="207"/>
      </w:r>
    </w:p>
    <w:p>
      <w:pPr>
        <w:pStyle w:val="BodyText"/>
      </w:pPr>
      <w:r>
        <w:t xml:space="preserve">Whitten also recommended a system of dividing residential areas by minimum home construction sizes, to effectively segregate citizens by social class. In the most exclusive A district, constructing a single-family home required the largest size property lot (at least 9,000 square feet, or 1/5 of an acre), and building a two-family home required twice as much land. Similar rules mandated the minimum width of the property facing the street. The 1924 zoning plan clearly stated that these rules</w:t>
      </w:r>
      <w:r>
        <w:t xml:space="preserve"> </w:t>
      </w:r>
      <w:r>
        <w:t xml:space="preserve">“</w:t>
      </w:r>
      <w:r>
        <w:t xml:space="preserve">will under most conditions, make it uneconomic to build two-family houses</w:t>
      </w:r>
      <w:r>
        <w:t xml:space="preserve">”</w:t>
      </w:r>
      <w:r>
        <w:t xml:space="preserve"> </w:t>
      </w:r>
      <w:r>
        <w:t xml:space="preserve">in the A district. Exclusionary zoning required more land per family, which increased home prices to levels that only wealthier residents could afford. While zoning did not explicitly ban lower-class citizens, it effectively pushed them downward to the D-level districts (which permitted two-family duplexes with lower minimum property sizes), or out of the suburb entirely. Under the new zoning law, Hartford’s tenement houses and apartment buildings, crowded with working-class families, would be</w:t>
      </w:r>
      <w:r>
        <w:t xml:space="preserve"> </w:t>
      </w:r>
      <w:r>
        <w:t xml:space="preserve">“</w:t>
      </w:r>
      <w:r>
        <w:t xml:space="preserve">effectively prevented in West Hartford.</w:t>
      </w:r>
      <w:r>
        <w:t xml:space="preserve">”</w:t>
      </w:r>
      <w:r>
        <w:rPr>
          <w:rStyle w:val="FootnoteReference"/>
        </w:rPr>
        <w:footnoteReference w:id="208"/>
      </w:r>
      <w:r>
        <w:t xml:space="preserve"> </w:t>
      </w:r>
      <w:r>
        <w:t xml:space="preserve">West Hartford town leaders voted to adopt most of their consultant’s recommendations.</w:t>
      </w:r>
    </w:p>
    <w:p>
      <w:pPr>
        <w:pStyle w:val="FigureWithCaption"/>
      </w:pPr>
      <w:r>
        <w:drawing>
          <wp:inline>
            <wp:extent cx="5334000" cy="2400300"/>
            <wp:effectExtent b="0" l="0" r="0" t="0"/>
            <wp:docPr descr="Whitten report excerpt, 1924" title="" id="1" name="Picture"/>
            <a:graphic>
              <a:graphicData uri="http://schemas.openxmlformats.org/drawingml/2006/picture">
                <pic:pic>
                  <pic:nvPicPr>
                    <pic:cNvPr descr="images/1924-Whitten-page10-underlined.png" id="0" name="Picture"/>
                    <pic:cNvPicPr>
                      <a:picLocks noChangeArrowheads="1" noChangeAspect="1"/>
                    </pic:cNvPicPr>
                  </pic:nvPicPr>
                  <pic:blipFill>
                    <a:blip r:embed="rId209"/>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r>
        <w:t xml:space="preserve">Whitten report excerpt, 1924</w:t>
      </w:r>
    </w:p>
    <w:p>
      <w:pPr>
        <w:pStyle w:val="FigureWithCaption"/>
      </w:pPr>
      <w:r>
        <w:drawing>
          <wp:inline>
            <wp:extent cx="5256201" cy="4066841"/>
            <wp:effectExtent b="0" l="0" r="0" t="0"/>
            <wp:docPr descr="West Hartford zoning map excerpt, 1924" title="" id="1" name="Picture"/>
            <a:graphic>
              <a:graphicData uri="http://schemas.openxmlformats.org/drawingml/2006/picture">
                <pic:pic>
                  <pic:nvPicPr>
                    <pic:cNvPr descr="images/1924-west-hartford-zoning-map-excerpt.png" id="0" name="Picture"/>
                    <pic:cNvPicPr>
                      <a:picLocks noChangeArrowheads="1" noChangeAspect="1"/>
                    </pic:cNvPicPr>
                  </pic:nvPicPr>
                  <pic:blipFill>
                    <a:blip r:embed="rId210"/>
                    <a:stretch>
                      <a:fillRect/>
                    </a:stretch>
                  </pic:blipFill>
                  <pic:spPr bwMode="auto">
                    <a:xfrm>
                      <a:off x="0" y="0"/>
                      <a:ext cx="5256201" cy="4066841"/>
                    </a:xfrm>
                    <a:prstGeom prst="rect">
                      <a:avLst/>
                    </a:prstGeom>
                    <a:noFill/>
                    <a:ln w="9525">
                      <a:noFill/>
                      <a:headEnd/>
                      <a:tailEnd/>
                    </a:ln>
                  </pic:spPr>
                </pic:pic>
              </a:graphicData>
            </a:graphic>
          </wp:inline>
        </w:drawing>
      </w:r>
    </w:p>
    <w:p>
      <w:pPr>
        <w:pStyle w:val="ImageCaption"/>
      </w:pPr>
      <w:r>
        <w:t xml:space="preserve">West Hartford zoning map excerpt, 1924</w:t>
      </w:r>
    </w:p>
    <w:p>
      <w:pPr>
        <w:pStyle w:val="Heading4"/>
      </w:pPr>
      <w:bookmarkStart w:id="211" w:name="explore-interactive-west-hartford-zoning-maps-1924-and-present"/>
      <w:bookmarkEnd w:id="211"/>
      <w:r>
        <w:t xml:space="preserve">Explore interactive West Hartford zoning maps, 1924 and present</w:t>
      </w:r>
    </w:p>
    <w:p>
      <w:pPr>
        <w:pStyle w:val="FirstParagraph"/>
      </w:pPr>
      <w:hyperlink r:id="rId212">
        <w:r>
          <w:rPr>
            <w:rStyle w:val="Hyperlink"/>
          </w:rPr>
          <w:t xml:space="preserve">http://magic.lib.uconn.edu/otl/dualcontrol_zoning_westhartford.html</w:t>
        </w:r>
      </w:hyperlink>
    </w:p>
    <w:p>
      <w:pPr>
        <w:pStyle w:val="BodyText"/>
      </w:pPr>
      <w:r>
        <w:rPr>
          <w:i/>
        </w:rPr>
        <w:t xml:space="preserve">TODO: rebuild map in Leaflet</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class-based zoning remains perfectly legal today. But it does nothing to promote the health and safety of the citizenry, as promised by the original intent of the state law.</w:t>
      </w:r>
    </w:p>
    <w:p>
      <w:pPr>
        <w:pStyle w:val="BodyText"/>
      </w:pPr>
      <w:r>
        <w:t xml:space="preserve">Drafting local ordinances this way made zoning an exclusionary tool to restrict neighborhoods by wealth, and most likely to pump up high-end real estate sales. Unlike other tools developed around the same time (such as racially restrictive property covenants that prohibited non-white residents, and have since been outlawed by civil rights legislation), wealth-based zoning remains perfectly legal today. But it does nothing to promote the health and safety of the citizenry, as promised by the original intent of the state law.</w:t>
      </w:r>
    </w:p>
    <w:p>
      <w:pPr>
        <w:pStyle w:val="BodyText"/>
      </w:pPr>
      <w:r>
        <w:t xml:space="preserve">Today in Connecticut, we continue to struggle with this legacy of our restrictive land-use laws. Exclusionary zoning has been criticized in multiple reports as a barrier to fair housing and equal opportunity.</w:t>
      </w:r>
      <w:r>
        <w:rPr>
          <w:rStyle w:val="FootnoteReference"/>
        </w:rPr>
        <w:footnoteReference w:id="213"/>
      </w:r>
      <w:r>
        <w:t xml:space="preserve"> </w:t>
      </w:r>
      <w:r>
        <w:t xml:space="preserve">In 2013, the Connecticut Fair Housing Center and Trinity College student researcher Fionnuala Darby-Hudgens and I compiled all of the local zoning ordinances for towns across Connecticut and evaluated them on their degree of restrictions against affordable housing for the Connecticut Zoning Initiative.</w:t>
      </w:r>
      <w:r>
        <w:rPr>
          <w:rStyle w:val="FootnoteReference"/>
        </w:rPr>
        <w:footnoteReference w:id="214"/>
      </w:r>
    </w:p>
    <w:p>
      <w:pPr>
        <w:pStyle w:val="Heading5"/>
      </w:pPr>
      <w:bookmarkStart w:id="216" w:name="explore-connecticut-zoning-initiative-maps-and-data-2013"/>
      <w:bookmarkEnd w:id="216"/>
      <w:r>
        <w:t xml:space="preserve">Explore Connecticut Zoning Initiative maps and data, 2013</w:t>
      </w:r>
    </w:p>
    <w:p>
      <w:pPr>
        <w:pStyle w:val="FirstParagraph"/>
      </w:pPr>
      <w:hyperlink r:id="rId217">
        <w:r>
          <w:rPr>
            <w:rStyle w:val="Hyperlink"/>
          </w:rPr>
          <w:t xml:space="preserve">http://commons.trincoll.edu/cssp/zoning</w:t>
        </w:r>
      </w:hyperlink>
    </w:p>
    <w:p>
      <w:pPr>
        <w:pStyle w:val="BodyText"/>
      </w:pPr>
      <w:r>
        <w:rPr>
          <w:i/>
        </w:rPr>
        <w:t xml:space="preserve">TODO: rebuild maps in Leaflet</w:t>
      </w:r>
    </w:p>
    <w:p>
      <w:pPr>
        <w:pStyle w:val="BodyText"/>
      </w:pPr>
      <w:r>
        <w:t xml:space="preserve">Exclusionary zoning across 169 Connecticut towns, 2012:</w:t>
      </w:r>
    </w:p>
    <w:p>
      <w:pPr>
        <w:pStyle w:val="Compact"/>
        <w:numPr>
          <w:numId w:val="1006"/>
          <w:ilvl w:val="0"/>
        </w:numPr>
      </w:pPr>
      <w:r>
        <w:t xml:space="preserve">23 prohibit new construction of multi-family housing (red)</w:t>
      </w:r>
    </w:p>
    <w:p>
      <w:pPr>
        <w:pStyle w:val="Compact"/>
        <w:numPr>
          <w:numId w:val="1006"/>
          <w:ilvl w:val="0"/>
        </w:numPr>
      </w:pPr>
      <w:r>
        <w:t xml:space="preserve">122 require special permit for multi-family housing (yellow)</w:t>
      </w:r>
    </w:p>
    <w:p>
      <w:pPr>
        <w:pStyle w:val="Compact"/>
        <w:numPr>
          <w:numId w:val="1006"/>
          <w:ilvl w:val="0"/>
        </w:numPr>
      </w:pPr>
      <w:r>
        <w:t xml:space="preserve">13 require &gt; 2 acre lot size for single-family homes</w:t>
      </w:r>
    </w:p>
    <w:p>
      <w:pPr>
        <w:pStyle w:val="Compact"/>
        <w:numPr>
          <w:numId w:val="1006"/>
          <w:ilvl w:val="0"/>
        </w:numPr>
      </w:pPr>
      <w:r>
        <w:t xml:space="preserve">18 require &gt; 5 acre lot size for multi-family homes</w:t>
      </w:r>
    </w:p>
    <w:p>
      <w:pPr>
        <w:pStyle w:val="Compact"/>
        <w:numPr>
          <w:numId w:val="1006"/>
          <w:ilvl w:val="0"/>
        </w:numPr>
      </w:pPr>
      <w:r>
        <w:rPr>
          <w:i/>
        </w:rPr>
        <w:t xml:space="preserve">TODO: review slides and transform into text</w:t>
      </w:r>
      <w:r>
        <w:t xml:space="preserve"> </w:t>
      </w:r>
      <w:hyperlink r:id="rId218">
        <w:r>
          <w:rPr>
            <w:rStyle w:val="Hyperlink"/>
          </w:rPr>
          <w:t xml:space="preserve">https://docs.google.com/presentation/d/1yYDQTzNoUBzCW6tCSH21beUrwsYQVwVTQO3Ctqf2BPM/edit#slide=id.g299a37f04f_0_0</w:t>
        </w:r>
      </w:hyperlink>
    </w:p>
    <w:p>
      <w:pPr>
        <w:pStyle w:val="FirstParagraph"/>
      </w:pPr>
      <w:r>
        <w:t xml:space="preserve">But these zoning analysis maps are incomplete because there is no uniform reporting requirements for local zoning ordinances, and no state entity charged with collecting this data in meaningful ways. Despite these obstacles, the question remains the same. If we wish to keep zoning as a governmental policy to regulate market forces in real estate, what kind of tool do we want it to be? Should we consider rewriting exclusionary zoning laws to make them more helpful for the health of our communities?</w:t>
      </w:r>
    </w:p>
    <w:p>
      <w:pPr>
        <w:pStyle w:val="Heading4"/>
      </w:pPr>
      <w:bookmarkStart w:id="219" w:name="about-this-book-2"/>
      <w:bookmarkEnd w:id="21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220" w:name="selling"/>
      <w:bookmarkEnd w:id="220"/>
      <w:r>
        <w:t xml:space="preserve">Selling and Shopping the Lines</w:t>
      </w:r>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21" w:name="about-this-book-3"/>
      <w:bookmarkEnd w:id="22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222" w:name="challenging"/>
      <w:bookmarkEnd w:id="222"/>
      <w:r>
        <w:t xml:space="preserve">Challenging the Power Lines</w:t>
      </w:r>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23" w:name="mobilizing-against-racial-steering-and-redlining"/>
      <w:bookmarkEnd w:id="223"/>
      <w:r>
        <w:t xml:space="preserve">Mobilizing Against Racial Steering and Redlining</w:t>
      </w:r>
    </w:p>
    <w:p>
      <w:pPr>
        <w:pStyle w:val="FirstParagraph"/>
      </w:pPr>
      <w:r>
        <w:rPr>
          <w:i/>
        </w:rPr>
        <w:t xml:space="preserve">by</w:t>
      </w:r>
      <w:r>
        <w:rPr>
          <w:i/>
        </w:rPr>
        <w:t xml:space="preserve"> </w:t>
      </w:r>
      <w:hyperlink r:id="rId81">
        <w:r>
          <w:rPr>
            <w:rStyle w:val="Hyperlink"/>
            <w:i/>
          </w:rPr>
          <w:t xml:space="preserve">Jasmin Agosto, Vianna Iorio, and Jack Dougherty</w:t>
        </w:r>
      </w:hyperlink>
    </w:p>
    <w:p>
      <w:pPr>
        <w:pStyle w:val="BodyText"/>
      </w:pPr>
      <w:r>
        <w:t xml:space="preserve">TO COME</w:t>
      </w:r>
    </w:p>
    <w:p>
      <w:pPr>
        <w:pStyle w:val="Heading2"/>
      </w:pPr>
      <w:bookmarkStart w:id="224" w:name="jumping-the-school-district-line"/>
      <w:bookmarkEnd w:id="224"/>
      <w:r>
        <w:t xml:space="preserve">Jumping the School District Line</w:t>
      </w:r>
    </w:p>
    <w:p>
      <w:pPr>
        <w:pStyle w:val="FirstParagraph"/>
      </w:pPr>
      <w:r>
        <w:rPr>
          <w:i/>
        </w:rPr>
        <w:t xml:space="preserve">by</w:t>
      </w:r>
      <w:r>
        <w:rPr>
          <w:i/>
        </w:rPr>
        <w:t xml:space="preserve"> </w:t>
      </w:r>
      <w:hyperlink r:id="rId81">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2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27"/>
      </w:r>
    </w:p>
    <w:p>
      <w:pPr>
        <w:pStyle w:val="FigureWithCaption"/>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28"/>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29" w:name="watch-video-excerpt-with-saundra-foster-1985"/>
      <w:bookmarkEnd w:id="229"/>
      <w:r>
        <w:t xml:space="preserve">Watch Video Excerpt with Saundra Foster, 1985</w:t>
      </w:r>
    </w:p>
    <w:p>
      <w:pPr>
        <w:pStyle w:val="FirstParagraph"/>
      </w:pPr>
      <w:r>
        <w:rPr>
          <w:i/>
        </w:rPr>
        <w:t xml:space="preserve">This</w:t>
      </w:r>
      <w:r>
        <w:rPr>
          <w:i/>
        </w:rPr>
        <w:t xml:space="preserve"> </w:t>
      </w:r>
      <w:hyperlink r:id="rId230">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31"/>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32"/>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33" w:name="line-jumping-over-time"/>
      <w:bookmarkEnd w:id="233"/>
      <w:r>
        <w:t xml:space="preserve">Line Jumping Over Time</w:t>
      </w:r>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34"/>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35"/>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36"/>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37"/>
      </w:r>
    </w:p>
    <w:p>
      <w:pPr>
        <w:pStyle w:val="Heading5"/>
      </w:pPr>
      <w:bookmarkStart w:id="238" w:name="chart-of-racial-change-at-bloomfield-high-school-1967-84"/>
      <w:bookmarkEnd w:id="238"/>
      <w:r>
        <w:t xml:space="preserve">Chart of Racial Change at Bloomfield High School, 1967-84</w:t>
      </w:r>
    </w:p>
    <w:p>
      <w:pPr>
        <w:pStyle w:val="FigureWithCaption"/>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3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4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41"/>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42"/>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43"/>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44"/>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45"/>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46"/>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47"/>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48" w:name="political-cartoon-on-city-suburban-borders"/>
      <w:bookmarkEnd w:id="248"/>
      <w:r>
        <w:t xml:space="preserve">Political Cartoon on City-Suburban Borders</w:t>
      </w:r>
    </w:p>
    <w:p>
      <w:pPr>
        <w:pStyle w:val="FigureWithCaption"/>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49"/>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50"/>
      </w:r>
    </w:p>
    <w:p>
      <w:pPr>
        <w:pStyle w:val="Heading4"/>
      </w:pPr>
      <w:bookmarkStart w:id="251" w:name="criticizing-the-arrests"/>
      <w:bookmarkEnd w:id="251"/>
      <w:r>
        <w:t xml:space="preserve">Criticizing the Arrests</w:t>
      </w:r>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52"/>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53"/>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54"/>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55"/>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56"/>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57"/>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58"/>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1">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59" w:name="about-this-book-4"/>
      <w:bookmarkEnd w:id="259"/>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260" w:name="choosing"/>
      <w:bookmarkEnd w:id="260"/>
      <w:r>
        <w:t xml:space="preserve">Choosing to Cross the Lines</w:t>
      </w:r>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261" w:name="about-this-book-5"/>
      <w:bookmarkEnd w:id="26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262" w:name="conclusion"/>
      <w:bookmarkEnd w:id="262"/>
      <w:r>
        <w:t xml:space="preserve">Where Do We Draw the Line?</w:t>
      </w:r>
    </w:p>
    <w:p>
      <w:pPr>
        <w:pStyle w:val="FirstParagraph"/>
      </w:pPr>
      <w:r>
        <w:t xml:space="preserve">TO COME</w:t>
      </w:r>
    </w:p>
    <w:p>
      <w:pPr>
        <w:pStyle w:val="Heading4"/>
      </w:pPr>
      <w:bookmarkStart w:id="263" w:name="about-this-book-6"/>
      <w:bookmarkEnd w:id="263"/>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264" w:name="teaching"/>
      <w:bookmarkEnd w:id="264"/>
      <w:r>
        <w:t xml:space="preserve">Teaching with</w:t>
      </w:r>
      <w:r>
        <w:t xml:space="preserve"> </w:t>
      </w:r>
      <w:r>
        <w:rPr>
          <w:i/>
        </w:rPr>
        <w:t xml:space="preserve">On The Line</w:t>
      </w:r>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4"/>
      </w:pPr>
      <w:bookmarkStart w:id="265" w:name="about-this-book-7"/>
      <w:bookmarkEnd w:id="265"/>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266" w:name="creating"/>
      <w:bookmarkEnd w:id="266"/>
      <w:r>
        <w:t xml:space="preserve">Creating</w:t>
      </w:r>
      <w:r>
        <w:t xml:space="preserve"> </w:t>
      </w:r>
      <w:r>
        <w:rPr>
          <w:i/>
        </w:rPr>
        <w:t xml:space="preserve">On The Line</w:t>
      </w:r>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267" w:name="who-owns-oral-history-a-creative-commons-solution"/>
      <w:bookmarkEnd w:id="267"/>
      <w:r>
        <w:t xml:space="preserve">Who Owns Oral History? A Creative Commons Solution</w:t>
      </w:r>
    </w:p>
    <w:p>
      <w:pPr>
        <w:pStyle w:val="FirstParagraph"/>
      </w:pPr>
      <w:r>
        <w:rPr>
          <w:i/>
        </w:rPr>
        <w:t xml:space="preserve">by</w:t>
      </w:r>
      <w:r>
        <w:rPr>
          <w:i/>
        </w:rPr>
        <w:t xml:space="preserve"> </w:t>
      </w:r>
      <w:hyperlink r:id="rId81">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268">
        <w:r>
          <w:rPr>
            <w:rStyle w:val="Hyperlink"/>
            <w:i/>
          </w:rPr>
          <w:t xml:space="preserve">Oral History in the Digital Age</w:t>
        </w:r>
      </w:hyperlink>
      <w:r>
        <w:rPr>
          <w:i/>
        </w:rPr>
        <w:t xml:space="preserve">.</w:t>
      </w:r>
      <w:r>
        <w:rPr>
          <w:rStyle w:val="FootnoteReference"/>
        </w:rPr>
        <w:footnoteReference w:id="269"/>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270">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hyperlink r:id="rId270">
        <w:r>
          <w:rPr>
            <w:rStyle w:val="Hyperlink"/>
          </w:rPr>
          <w:t xml:space="preserve">http://creativecommons.org</w:t>
        </w:r>
      </w:hyperlink>
      <w:r>
        <w:t xml:space="preserve">]</w:t>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271"/>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272"/>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273"/>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275"/>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277"/>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280"/>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281"/>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282"/>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284"/>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285"/>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286">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287"/>
      </w:r>
    </w:p>
    <w:p>
      <w:pPr>
        <w:pStyle w:val="FigureWithCaption"/>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2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289">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290">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291"/>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293"/>
      </w:r>
    </w:p>
    <w:p>
      <w:pPr>
        <w:pStyle w:val="Heading4"/>
      </w:pPr>
      <w:bookmarkStart w:id="295" w:name="oral-history-video-with-elizabeth-horton-sheff-2011"/>
      <w:bookmarkEnd w:id="295"/>
      <w:r>
        <w:t xml:space="preserve">Oral History Video with Elizabeth Horton Sheff, 2011</w:t>
      </w:r>
    </w:p>
    <w:p>
      <w:pPr>
        <w:pStyle w:val="FirstParagraph"/>
      </w:pPr>
      <w:r>
        <w:rPr>
          <w:i/>
        </w:rPr>
        <w:t xml:space="preserve">View the</w:t>
      </w:r>
      <w:r>
        <w:rPr>
          <w:i/>
        </w:rPr>
        <w:t xml:space="preserve"> </w:t>
      </w:r>
      <w:hyperlink r:id="rId294">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296"/>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1">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297" w:name="oral-history-consent-form"/>
      <w:bookmarkEnd w:id="297"/>
      <w:r>
        <w:t xml:space="preserve">Oral History Consent Form</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298">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299" w:name="bookdown-publishing-and-style-guide"/>
      <w:bookmarkEnd w:id="299"/>
      <w:r>
        <w:t xml:space="preserve">Bookdown Publishing and Style Guide</w:t>
      </w:r>
    </w:p>
    <w:p>
      <w:pPr>
        <w:pStyle w:val="FirstParagraph"/>
      </w:pPr>
      <w:r>
        <w:rPr>
          <w:i/>
        </w:rPr>
        <w:t xml:space="preserve">by</w:t>
      </w:r>
      <w:r>
        <w:rPr>
          <w:i/>
        </w:rPr>
        <w:t xml:space="preserve"> </w:t>
      </w:r>
      <w:hyperlink r:id="rId81">
        <w:r>
          <w:rPr>
            <w:rStyle w:val="Hyperlink"/>
            <w:i/>
          </w:rPr>
          <w:t xml:space="preserve">Jack Dougherty</w:t>
        </w:r>
      </w:hyperlink>
    </w:p>
    <w:p>
      <w:pPr>
        <w:pStyle w:val="BodyText"/>
      </w:pPr>
      <w:r>
        <w:t xml:space="preserve">TO DO:</w:t>
      </w:r>
      <w:r>
        <w:t xml:space="preserve"> </w:t>
      </w:r>
      <w:r>
        <w:t xml:space="preserve">- Include a longer introduction on why it matters, and then how we publish with Bookdown on GitHub Pages with custom domain</w:t>
      </w:r>
      <w:r>
        <w:t xml:space="preserve"> </w:t>
      </w:r>
      <w:r>
        <w:t xml:space="preserve">- See also way to include hypothesis commenting and other open review tools at:</w:t>
      </w:r>
      <w:r>
        <w:t xml:space="preserve"> </w:t>
      </w:r>
      <w:hyperlink r:id="rId300">
        <w:r>
          <w:rPr>
            <w:rStyle w:val="Hyperlink"/>
          </w:rPr>
          <w:t xml:space="preserve">https://benmarwick.github.io/bookdown-ort/</w:t>
        </w:r>
      </w:hyperlink>
    </w:p>
    <w:p>
      <w:pPr>
        <w:pStyle w:val="Heading4"/>
      </w:pPr>
      <w:bookmarkStart w:id="301" w:name="publishing-workflow-quick-notes"/>
      <w:bookmarkEnd w:id="301"/>
      <w:r>
        <w:t xml:space="preserve">Publishing workflow quick notes</w:t>
      </w:r>
    </w:p>
    <w:p>
      <w:pPr>
        <w:pStyle w:val="Compact"/>
        <w:numPr>
          <w:numId w:val="1007"/>
          <w:ilvl w:val="0"/>
        </w:numPr>
      </w:pPr>
      <w:r>
        <w:t xml:space="preserve">How to install R, RStudio, bookdown package, and tinytex package (to create PDFs)</w:t>
      </w:r>
    </w:p>
    <w:p>
      <w:pPr>
        <w:pStyle w:val="Compact"/>
        <w:numPr>
          <w:numId w:val="1007"/>
          <w:ilvl w:val="0"/>
        </w:numPr>
      </w:pPr>
      <w:r>
        <w:t xml:space="preserve">GitHub Pages set to publish from</w:t>
      </w:r>
      <w:r>
        <w:t xml:space="preserve"> </w:t>
      </w:r>
      <w:r>
        <w:rPr>
          <w:rStyle w:val="VerbatimChar"/>
        </w:rPr>
        <w:t xml:space="preserve">master/docs</w:t>
      </w:r>
    </w:p>
    <w:p>
      <w:pPr>
        <w:pStyle w:val="Compact"/>
        <w:numPr>
          <w:numId w:val="1007"/>
          <w:ilvl w:val="0"/>
        </w:numPr>
      </w:pPr>
      <w:r>
        <w:t xml:space="preserve">Bookdown settings: build all book formats into the</w:t>
      </w:r>
      <w:r>
        <w:t xml:space="preserve"> </w:t>
      </w:r>
      <w:r>
        <w:rPr>
          <w:rStyle w:val="VerbatimChar"/>
        </w:rPr>
        <w:t xml:space="preserve">docs</w:t>
      </w:r>
      <w:r>
        <w:t xml:space="preserve"> </w:t>
      </w:r>
      <w:r>
        <w:t xml:space="preserve">folder</w:t>
      </w:r>
    </w:p>
    <w:p>
      <w:pPr>
        <w:pStyle w:val="Compact"/>
        <w:numPr>
          <w:numId w:val="1007"/>
          <w:ilvl w:val="0"/>
        </w:numPr>
      </w:pPr>
      <w:r>
        <w:t xml:space="preserve">GitHub Pages custom domain setting adds</w:t>
      </w:r>
      <w:r>
        <w:t xml:space="preserve"> </w:t>
      </w:r>
      <w:r>
        <w:rPr>
          <w:rStyle w:val="VerbatimChar"/>
        </w:rPr>
        <w:t xml:space="preserve">CNAME</w:t>
      </w:r>
      <w:r>
        <w:t xml:space="preserve"> </w:t>
      </w:r>
      <w:r>
        <w:t xml:space="preserve">file to</w:t>
      </w:r>
      <w:r>
        <w:t xml:space="preserve"> </w:t>
      </w:r>
      <w:r>
        <w:rPr>
          <w:rStyle w:val="VerbatimChar"/>
        </w:rPr>
        <w:t xml:space="preserve">docs</w:t>
      </w:r>
      <w:r>
        <w:t xml:space="preserve"> </w:t>
      </w:r>
      <w:r>
        <w:t xml:space="preserve">folder; do not delete</w:t>
      </w:r>
    </w:p>
    <w:p>
      <w:pPr>
        <w:pStyle w:val="Compact"/>
        <w:numPr>
          <w:numId w:val="1007"/>
          <w:ilvl w:val="0"/>
        </w:numPr>
      </w:pPr>
      <w:r>
        <w:t xml:space="preserve">Manually transfer</w:t>
      </w:r>
      <w:r>
        <w:t xml:space="preserve"> </w:t>
      </w:r>
      <w:r>
        <w:rPr>
          <w:rStyle w:val="VerbatimChar"/>
        </w:rPr>
        <w:t xml:space="preserve">404.html</w:t>
      </w:r>
      <w:r>
        <w:t xml:space="preserve"> </w:t>
      </w:r>
      <w:r>
        <w:t xml:space="preserve">into</w:t>
      </w:r>
      <w:r>
        <w:t xml:space="preserve"> </w:t>
      </w:r>
      <w:r>
        <w:t xml:space="preserve">‘</w:t>
      </w:r>
      <w:r>
        <w:t xml:space="preserve">docs</w:t>
      </w:r>
      <w:r>
        <w:t xml:space="preserve">’</w:t>
      </w:r>
      <w:r>
        <w:t xml:space="preserve"> </w:t>
      </w:r>
      <w:r>
        <w:t xml:space="preserve">folder, since not auto-built; do not delete</w:t>
      </w:r>
    </w:p>
    <w:p>
      <w:pPr>
        <w:pStyle w:val="Compact"/>
        <w:numPr>
          <w:numId w:val="1007"/>
          <w:ilvl w:val="0"/>
        </w:numPr>
      </w:pPr>
      <w:r>
        <w:t xml:space="preserve">Manually add</w:t>
      </w:r>
      <w:r>
        <w:t xml:space="preserve"> </w:t>
      </w:r>
      <w:r>
        <w:rPr>
          <w:rStyle w:val="VerbatimChar"/>
        </w:rPr>
        <w:t xml:space="preserve">google-analytics-otl.html</w:t>
      </w:r>
      <w:r>
        <w:t xml:space="preserve"> </w:t>
      </w:r>
      <w:r>
        <w:t xml:space="preserve">to root (where bookdown looks for it) and also to</w:t>
      </w:r>
      <w:r>
        <w:t xml:space="preserve"> </w:t>
      </w:r>
      <w:r>
        <w:rPr>
          <w:rStyle w:val="VerbatimChar"/>
        </w:rPr>
        <w:t xml:space="preserve">docs</w:t>
      </w:r>
      <w:r>
        <w:t xml:space="preserve"> </w:t>
      </w:r>
      <w:r>
        <w:t xml:space="preserve">folder (since bookdown does</w:t>
      </w:r>
      <w:r>
        <w:t xml:space="preserve"> </w:t>
      </w:r>
      <w:r>
        <w:rPr>
          <w:i/>
        </w:rPr>
        <w:t xml:space="preserve">not appear</w:t>
      </w:r>
      <w:r>
        <w:t xml:space="preserve"> </w:t>
      </w:r>
      <w:r>
        <w:t xml:space="preserve">to copy it to there on each build)</w:t>
      </w:r>
    </w:p>
    <w:p>
      <w:pPr>
        <w:pStyle w:val="Compact"/>
        <w:numPr>
          <w:numId w:val="1007"/>
          <w:ilvl w:val="0"/>
        </w:numPr>
      </w:pPr>
      <w:r>
        <w:t xml:space="preserve">Manually transfer X.X-footer.Rmd to end of each chapter</w:t>
      </w:r>
    </w:p>
    <w:p>
      <w:pPr>
        <w:pStyle w:val="Compact"/>
        <w:numPr>
          <w:numId w:val="1007"/>
          <w:ilvl w:val="0"/>
        </w:numPr>
      </w:pPr>
      <w:r>
        <w:t xml:space="preserve">For final PDF and eBook builds, review lessons from Tracey Wilson book, and perhaps create a</w:t>
      </w:r>
      <w:r>
        <w:t xml:space="preserve"> </w:t>
      </w:r>
      <w:r>
        <w:t xml:space="preserve">“</w:t>
      </w:r>
      <w:r>
        <w:t xml:space="preserve">printbook</w:t>
      </w:r>
      <w:r>
        <w:t xml:space="preserve">”</w:t>
      </w:r>
      <w:r>
        <w:t xml:space="preserve"> </w:t>
      </w:r>
      <w:r>
        <w:t xml:space="preserve">fork on GitHub, remove cover image and footers, and learn more about modifying biblio output across different formats. See solution notes</w:t>
      </w:r>
      <w:r>
        <w:t xml:space="preserve"> </w:t>
      </w:r>
      <w:hyperlink r:id="rId302">
        <w:r>
          <w:rPr>
            <w:rStyle w:val="Hyperlink"/>
          </w:rPr>
          <w:t xml:space="preserve">https://stackoverflow.com/questions/48965247/use-csl-file-for-pdf-output-in-bookdown/49145699#49145699</w:t>
        </w:r>
      </w:hyperlink>
    </w:p>
    <w:p>
      <w:pPr>
        <w:pStyle w:val="Heading4"/>
      </w:pPr>
      <w:bookmarkStart w:id="303" w:name="known-issues"/>
      <w:bookmarkEnd w:id="303"/>
      <w:r>
        <w:t xml:space="preserve">Known issues</w:t>
      </w:r>
    </w:p>
    <w:p>
      <w:pPr>
        <w:pStyle w:val="Compact"/>
        <w:numPr>
          <w:numId w:val="1008"/>
          <w:ilvl w:val="0"/>
        </w:numPr>
      </w:pPr>
      <w:r>
        <w:t xml:space="preserve">publishing PDF version not currently working for me since migrating hard drive setup</w:t>
      </w:r>
    </w:p>
    <w:p>
      <w:pPr>
        <w:pStyle w:val="Compact"/>
        <w:numPr>
          <w:numId w:val="1008"/>
          <w:ilvl w:val="0"/>
        </w:numPr>
      </w:pPr>
      <w:r>
        <w:t xml:space="preserve">footnote ordering is not working as expected, even after modifying style.css</w:t>
      </w:r>
      <w:r>
        <w:t xml:space="preserve"> </w:t>
      </w:r>
      <w:hyperlink r:id="rId304">
        <w:r>
          <w:rPr>
            <w:rStyle w:val="Hyperlink"/>
          </w:rPr>
          <w:t xml:space="preserve">https://github.com/rstudio/bookdown/issues/589</w:t>
        </w:r>
      </w:hyperlink>
    </w:p>
    <w:p>
      <w:pPr>
        <w:pStyle w:val="Heading4"/>
      </w:pPr>
      <w:bookmarkStart w:id="305" w:name="style-guide-for-on-the-line"/>
      <w:bookmarkEnd w:id="305"/>
      <w:r>
        <w:t xml:space="preserve">Style Guide for On The Line</w:t>
      </w:r>
    </w:p>
    <w:p>
      <w:pPr>
        <w:pStyle w:val="FirstParagraph"/>
      </w:pPr>
      <w:r>
        <w:rPr>
          <w:b/>
        </w:rPr>
        <w:t xml:space="preserve">IMPROVE</w:t>
      </w:r>
      <w:r>
        <w:t xml:space="preserve"> </w:t>
      </w:r>
      <w:r>
        <w:t xml:space="preserve">and compare with</w:t>
      </w:r>
    </w:p>
    <w:p>
      <w:pPr>
        <w:pStyle w:val="Compact"/>
        <w:numPr>
          <w:numId w:val="1009"/>
          <w:ilvl w:val="0"/>
        </w:numPr>
      </w:pPr>
      <w:hyperlink r:id="rId306">
        <w:r>
          <w:rPr>
            <w:rStyle w:val="Hyperlink"/>
          </w:rPr>
          <w:t xml:space="preserve">https://bookdown.org/yihui/bookdown/markdown-syntax.html</w:t>
        </w:r>
      </w:hyperlink>
    </w:p>
    <w:p>
      <w:pPr>
        <w:pStyle w:val="Compact"/>
        <w:numPr>
          <w:numId w:val="1009"/>
          <w:ilvl w:val="0"/>
        </w:numPr>
      </w:pPr>
      <w:hyperlink r:id="rId307">
        <w:r>
          <w:rPr>
            <w:rStyle w:val="Hyperlink"/>
          </w:rPr>
          <w:t xml:space="preserve">https://github.com/DataVizForAll/datavizforall-bookdown</w:t>
        </w:r>
      </w:hyperlink>
    </w:p>
    <w:p>
      <w:pPr>
        <w:pStyle w:val="FirstParagraph"/>
      </w:pPr>
      <w:r>
        <w:rPr>
          <w:b/>
        </w:rPr>
        <w:t xml:space="preserve">ADD</w:t>
      </w:r>
      <w:r>
        <w:t xml:space="preserve"> </w:t>
      </w:r>
      <w:r>
        <w:t xml:space="preserve">more code and demo comparisons</w:t>
      </w:r>
    </w:p>
    <w:p>
      <w:pPr>
        <w:pStyle w:val="BodyText"/>
      </w:pPr>
      <w:r>
        <w:t xml:space="preserve">Use brackets and parentheses for an</w:t>
      </w:r>
      <w:r>
        <w:t xml:space="preserve"> </w:t>
      </w:r>
      <w:hyperlink r:id="rId308">
        <w:r>
          <w:rPr>
            <w:rStyle w:val="Hyperlink"/>
          </w:rPr>
          <w:t xml:space="preserve">embedded link</w:t>
        </w:r>
      </w:hyperlink>
    </w:p>
    <w:p>
      <w:pPr>
        <w:pStyle w:val="BodyText"/>
      </w:pPr>
      <w:r>
        <w:t xml:space="preserve">Use parentheses only for a non-embedded link (</w:t>
      </w:r>
      <w:hyperlink r:id="rId308">
        <w:r>
          <w:rPr>
            <w:rStyle w:val="Hyperlink"/>
          </w:rPr>
          <w:t xml:space="preserve">http://example.com</w:t>
        </w:r>
      </w:hyperlink>
      <w:r>
        <w:t xml:space="preserve">)</w:t>
      </w:r>
    </w:p>
    <w:p>
      <w:pPr>
        <w:pStyle w:val="BodyText"/>
      </w:pPr>
      <w:r>
        <w:t xml:space="preserve">Similarly, display URL with angle brackets:</w:t>
      </w:r>
      <w:r>
        <w:t xml:space="preserve"> </w:t>
      </w:r>
      <w:hyperlink r:id="rId308">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09" w:name="headers-and-cross-reference-links"/>
      <w:bookmarkEnd w:id="309"/>
      <w:r>
        <w:t xml:space="preserve">Headers and Cross-reference links</w:t>
      </w:r>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10"/>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1">
        <w:r>
          <w:rPr>
            <w:rStyle w:val="Hyperlink"/>
            <w:i/>
          </w:rPr>
          <w:t xml:space="preserve">Jack Dougherty</w:t>
        </w:r>
      </w:hyperlink>
    </w:p>
    <w:p>
      <w:pPr>
        <w:pStyle w:val="Compact"/>
        <w:numPr>
          <w:numId w:val="1010"/>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11"/>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11"/>
          <w:ilvl w:val="0"/>
        </w:numPr>
      </w:pPr>
      <w:r>
        <w:t xml:space="preserve">Contributor demo: Shaun McGann (Trinity 2014) co-authored</w:t>
      </w:r>
      <w:r>
        <w:t xml:space="preserve"> </w:t>
      </w:r>
      <w:hyperlink r:id="rId41">
        <w:r>
          <w:rPr>
            <w:rStyle w:val="Hyperlink"/>
          </w:rPr>
          <w:t xml:space="preserve">Federal Lending and Redlining</w:t>
        </w:r>
      </w:hyperlink>
      <w:r>
        <w:t xml:space="preserve">.</w:t>
      </w:r>
    </w:p>
    <w:p>
      <w:pPr>
        <w:pStyle w:val="Compact"/>
        <w:numPr>
          <w:numId w:val="1011"/>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11"/>
          <w:ilvl w:val="0"/>
        </w:numPr>
      </w:pPr>
      <w:r>
        <w:t xml:space="preserve">Learn More demo: in this book about</w:t>
      </w:r>
      <w:r>
        <w:t xml:space="preserve"> </w:t>
      </w:r>
      <w:hyperlink r:id="rId38">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Heading4"/>
      </w:pPr>
      <w:bookmarkStart w:id="310" w:name="zotero-settings-and-footnotes"/>
      <w:bookmarkEnd w:id="310"/>
      <w:r>
        <w:t xml:space="preserve">Zotero Settings and Footnotes</w:t>
      </w:r>
    </w:p>
    <w:p>
      <w:pPr>
        <w:pStyle w:val="FirstParagraph"/>
      </w:pPr>
      <w:r>
        <w:t xml:space="preserve">This workflow uses open-source Zotero bibliography manager (</w:t>
      </w:r>
      <w:hyperlink r:id="rId311">
        <w:r>
          <w:rPr>
            <w:rStyle w:val="Hyperlink"/>
          </w:rPr>
          <w:t xml:space="preserve">http://zotero.org</w:t>
        </w:r>
      </w:hyperlink>
      <w:r>
        <w:t xml:space="preserve">) with Better BibTeX extension (</w:t>
      </w:r>
      <w:hyperlink r:id="rId312">
        <w:r>
          <w:rPr>
            <w:rStyle w:val="Hyperlink"/>
          </w:rPr>
          <w:t xml:space="preserve">https://retorque.re/zotero-better-bibtex/</w:t>
        </w:r>
      </w:hyperlink>
      <w:r>
        <w:t xml:space="preserve">). See</w:t>
      </w:r>
      <w:r>
        <w:t xml:space="preserve"> </w:t>
      </w:r>
      <w:hyperlink r:id="rId313">
        <w:r>
          <w:rPr>
            <w:rStyle w:val="Hyperlink"/>
          </w:rPr>
          <w:t xml:space="preserve">Better BibTeX installation</w:t>
        </w:r>
      </w:hyperlink>
      <w:r>
        <w:t xml:space="preserve">. This allows the author to insert footnote codes (example:</w:t>
      </w:r>
      <w:r>
        <w:t xml:space="preserve"> </w:t>
      </w:r>
      <w:r>
        <w:rPr>
          <w:rStyle w:val="VerbatimChar"/>
        </w:rPr>
        <w:t xml:space="preserve">@tyackOneBestSystem1974</w:t>
      </w:r>
      <w:r>
        <w:t xml:space="preserve">) and configure bookdown settings (such as Chicago note format) that pull footnotes from a recently downloaded Zotero collection, rather than typing each note directly into the book.</w:t>
      </w:r>
    </w:p>
    <w:p>
      <w:pPr>
        <w:pStyle w:val="BodyText"/>
      </w:pPr>
      <w:r>
        <w:t xml:space="preserve">Zotero preferences &gt; Better BibTeX</w:t>
      </w:r>
    </w:p>
    <w:p>
      <w:pPr>
        <w:pStyle w:val="Compact"/>
        <w:numPr>
          <w:numId w:val="1012"/>
          <w:ilvl w:val="0"/>
        </w:numPr>
      </w:pPr>
      <w:r>
        <w:t xml:space="preserve">add URLs to BibTeX export &gt; in a note field</w:t>
      </w:r>
    </w:p>
    <w:p>
      <w:pPr>
        <w:pStyle w:val="Compact"/>
        <w:numPr>
          <w:numId w:val="1012"/>
          <w:ilvl w:val="0"/>
        </w:numPr>
      </w:pPr>
      <w:r>
        <w:t xml:space="preserve">when ref has both DOI and URL, export &gt; both</w:t>
      </w:r>
    </w:p>
    <w:p>
      <w:pPr>
        <w:pStyle w:val="FirstParagraph"/>
      </w:pPr>
      <w:r>
        <w:t xml:space="preserve">To export from Zotero:</w:t>
      </w:r>
    </w:p>
    <w:p>
      <w:pPr>
        <w:pStyle w:val="Compact"/>
        <w:numPr>
          <w:numId w:val="1013"/>
          <w:ilvl w:val="0"/>
        </w:numPr>
      </w:pPr>
      <w:r>
        <w:t xml:space="preserve">select library &gt; right-click to export collection</w:t>
      </w:r>
    </w:p>
    <w:p>
      <w:pPr>
        <w:pStyle w:val="Compact"/>
        <w:numPr>
          <w:numId w:val="1013"/>
          <w:ilvl w:val="0"/>
        </w:numPr>
      </w:pPr>
      <w:r>
        <w:t xml:space="preserve">select format &gt; Better BibTex and leave checkboxes blank (I do not use</w:t>
      </w:r>
      <w:r>
        <w:t xml:space="preserve"> </w:t>
      </w:r>
      <w:r>
        <w:t xml:space="preserve">“</w:t>
      </w:r>
      <w:r>
        <w:t xml:space="preserve">keep updated</w:t>
      </w:r>
      <w:r>
        <w:t xml:space="preserve">”</w:t>
      </w:r>
      <w:r>
        <w:t xml:space="preserve">)</w:t>
      </w:r>
    </w:p>
    <w:p>
      <w:pPr>
        <w:numPr>
          <w:numId w:val="1013"/>
          <w:ilvl w:val="0"/>
        </w:numPr>
      </w:pPr>
      <w:r>
        <w:t xml:space="preserve">save output as ontheline.bib (or whatever matches your config settings) and save into book repo</w:t>
      </w:r>
    </w:p>
    <w:p>
      <w:pPr>
        <w:pStyle w:val="Compact"/>
        <w:numPr>
          <w:numId w:val="1013"/>
          <w:ilvl w:val="0"/>
        </w:numPr>
      </w:pPr>
      <w:r>
        <w:t xml:space="preserve">Clarify that Chicago full-note</w:t>
      </w:r>
      <w:r>
        <w:t xml:space="preserve"> </w:t>
      </w:r>
      <w:r>
        <w:rPr>
          <w:i/>
        </w:rPr>
        <w:t xml:space="preserve">appears</w:t>
      </w:r>
      <w:r>
        <w:t xml:space="preserve"> </w:t>
      </w:r>
      <w:r>
        <w:t xml:space="preserve">to be working exactly as it was designed, but perhaps could be modified for this book:</w:t>
      </w:r>
    </w:p>
    <w:p>
      <w:pPr>
        <w:pStyle w:val="Compact"/>
        <w:numPr>
          <w:numId w:val="1013"/>
          <w:ilvl w:val="0"/>
        </w:numPr>
      </w:pPr>
      <w:r>
        <w:t xml:space="preserve">newspaper notes currently show only month and year; ideal to also show date</w:t>
      </w:r>
    </w:p>
    <w:p>
      <w:pPr>
        <w:numPr>
          <w:numId w:val="1013"/>
          <w:ilvl w:val="0"/>
        </w:numPr>
      </w:pPr>
      <w:r>
        <w:t xml:space="preserve">second instance currently appears in abbreviated note (Author); ideal to show full note in every instance in the web version</w:t>
      </w:r>
    </w:p>
    <w:p>
      <w:pPr>
        <w:pStyle w:val="FirstParagraph"/>
      </w:pPr>
      <w:r>
        <w:t xml:space="preserve">A text-only footnote.</w:t>
      </w:r>
      <w:r>
        <w:rPr>
          <w:rStyle w:val="FootnoteReference"/>
        </w:rPr>
        <w:footnoteReference w:id="314"/>
      </w:r>
    </w:p>
    <w:p>
      <w:pPr>
        <w:pStyle w:val="BodyText"/>
      </w:pPr>
      <w:r>
        <w:t xml:space="preserve">BibText footnote with semi-colons to separate cites:</w:t>
      </w:r>
      <w:r>
        <w:rPr>
          <w:rStyle w:val="FootnoteReference"/>
        </w:rPr>
        <w:footnoteReference w:id="315"/>
      </w:r>
    </w:p>
    <w:p>
      <w:pPr>
        <w:pStyle w:val="BodyText"/>
      </w:pPr>
      <w:r>
        <w:t xml:space="preserve">Markdown caret-footnote, which can accept multiple references with complex punctuation.</w:t>
      </w:r>
      <w:r>
        <w:rPr>
          <w:rStyle w:val="FootnoteReference"/>
        </w:rPr>
        <w:footnoteReference w:id="316"/>
      </w:r>
    </w:p>
    <w:p>
      <w:pPr>
        <w:pStyle w:val="Heading4"/>
      </w:pPr>
      <w:bookmarkStart w:id="317" w:name="embedding-images-and-iframes"/>
      <w:bookmarkEnd w:id="317"/>
      <w:r>
        <w:t xml:space="preserve">Embedding images and iframes</w:t>
      </w:r>
    </w:p>
    <w:p>
      <w:pPr>
        <w:pStyle w:val="FirstParagraph"/>
      </w:pPr>
      <w:r>
        <w:t xml:space="preserve">Insert image using Markdown syntax:</w:t>
      </w:r>
    </w:p>
    <w:p>
      <w:pPr>
        <w:pStyle w:val="FigureWithCaption"/>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18"/>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19">
        <w:r>
          <w:rPr>
            <w:rStyle w:val="Hyperlink"/>
          </w:rPr>
          <w:t xml:space="preserve">source link</w:t>
        </w:r>
      </w:hyperlink>
      <w:r>
        <w:t xml:space="preserve">, with caret-footnote.</w:t>
      </w:r>
      <w:r>
        <w:rPr>
          <w:rStyle w:val="FootnoteReference"/>
        </w:rPr>
        <w:footnoteReference w:id="320"/>
      </w:r>
    </w:p>
    <w:p>
      <w:pPr>
        <w:pStyle w:val="Heading4"/>
      </w:pPr>
      <w:bookmarkStart w:id="321" w:name="subheadings-need-four-hashtags-and-no-number-symbol"/>
      <w:bookmarkEnd w:id="321"/>
      <w:r>
        <w:t xml:space="preserve">Subheadings need four hashtags and no-number symbol</w:t>
      </w:r>
    </w:p>
    <w:p>
      <w:pPr>
        <w:pStyle w:val="Compact"/>
        <w:numPr>
          <w:numId w:val="1014"/>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 Use 5 hashtags for digital image headers **, and imperative verbs to hint interactive use</w:t>
      </w:r>
    </w:p>
    <w:p>
      <w:pPr>
        <w:pStyle w:val="Heading5"/>
      </w:pPr>
      <w:bookmarkStart w:id="322" w:name="explore-the-chart-embedded-html-iframe"/>
      <w:bookmarkEnd w:id="322"/>
      <w:r>
        <w:t xml:space="preserve">Explore the Chart: embedded HTML iframe</w:t>
      </w:r>
    </w:p>
    <w:p>
      <w:pPr>
        <w:pStyle w:val="FirstParagraph"/>
      </w:pPr>
      <w:r>
        <w:rPr>
          <w:i/>
        </w:rPr>
        <w:t xml:space="preserve">REMINDER: Insert caption, shortlinks, and footnote immediately afterwards in body text, in italics.</w:t>
      </w:r>
    </w:p>
    <w:p>
      <w:pPr>
        <w:pStyle w:val="Heading5"/>
      </w:pPr>
      <w:bookmarkStart w:id="323" w:name="scroll-the-map-embedded-html-iframe"/>
      <w:bookmarkEnd w:id="323"/>
      <w:r>
        <w:t xml:space="preserve">Scroll the Map: embedded HTML iframe</w:t>
      </w:r>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6">
        <w:r>
          <w:rPr>
            <w:rStyle w:val="Hyperlink"/>
            <w:i/>
          </w:rPr>
          <w:t xml:space="preserve">UConn Libraries MAGIC historical maps</w:t>
        </w:r>
      </w:hyperlink>
      <w:r>
        <w:rPr>
          <w:i/>
        </w:rPr>
        <w:t xml:space="preserve">,</w:t>
      </w:r>
      <w:r>
        <w:rPr>
          <w:i/>
        </w:rPr>
        <w:t xml:space="preserve"> </w:t>
      </w:r>
      <w:hyperlink r:id="rId112">
        <w:r>
          <w:rPr>
            <w:rStyle w:val="Hyperlink"/>
            <w:i/>
          </w:rPr>
          <w:t xml:space="preserve">Atlas of Historical County Boundaries at Newberry Library</w:t>
        </w:r>
      </w:hyperlink>
      <w:r>
        <w:rPr>
          <w:i/>
        </w:rPr>
        <w:t xml:space="preserve">, and the</w:t>
      </w:r>
      <w:r>
        <w:rPr>
          <w:i/>
        </w:rPr>
        <w:t xml:space="preserve"> </w:t>
      </w:r>
      <w:hyperlink r:id="rId113">
        <w:r>
          <w:rPr>
            <w:rStyle w:val="Hyperlink"/>
            <w:i/>
          </w:rPr>
          <w:t xml:space="preserve">Connecticut State Register and Manual</w:t>
        </w:r>
      </w:hyperlink>
      <w:r>
        <w:rPr>
          <w:i/>
        </w:rPr>
        <w:t xml:space="preserve">. View</w:t>
      </w:r>
      <w:r>
        <w:rPr>
          <w:i/>
        </w:rPr>
        <w:t xml:space="preserve"> </w:t>
      </w:r>
      <w:hyperlink r:id="rId114">
        <w:r>
          <w:rPr>
            <w:rStyle w:val="Hyperlink"/>
            <w:i/>
          </w:rPr>
          <w:t xml:space="preserve">map historical sources, known issues, and the code</w:t>
        </w:r>
      </w:hyperlink>
      <w:r>
        <w:rPr>
          <w:i/>
        </w:rPr>
        <w:t xml:space="preserve">, developed by Ilya Ilyankou and Jack Dougherty.</w:t>
      </w:r>
      <w:r>
        <w:rPr>
          <w:rStyle w:val="FootnoteReference"/>
        </w:rPr>
        <w:footnoteReference w:id="324"/>
      </w:r>
      <w:r>
        <w:t xml:space="preserve"> </w:t>
      </w:r>
      <w:r>
        <w:rPr>
          <w:i/>
        </w:rPr>
        <w:t xml:space="preserve">REMINDER: Insert caption, shortlinks, and footnote immediately afterwards in body text, in italics.</w:t>
      </w:r>
    </w:p>
    <w:p>
      <w:pPr>
        <w:pStyle w:val="Heading5"/>
      </w:pPr>
      <w:bookmarkStart w:id="325" w:name="watch-the-youtube-video-embedded-html-iframe-from-secure-https"/>
      <w:bookmarkEnd w:id="325"/>
      <w:r>
        <w:t xml:space="preserve">Watch the YouTube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26" w:name="watch-the-vimeo-video-embedded-html-iframe-from-secure-https"/>
      <w:bookmarkEnd w:id="326"/>
      <w:r>
        <w:t xml:space="preserve">Watch the Vimeo Video: embedded HTML iframe from secure https</w:t>
      </w:r>
    </w:p>
    <w:p>
      <w:pPr>
        <w:pStyle w:val="FirstParagraph"/>
      </w:pPr>
      <w:r>
        <w:rPr>
          <w:i/>
        </w:rPr>
        <w:t xml:space="preserve">REMINDER: Insert caption, shortlinks, and footnote immediately afterwards in body text, in italics.</w:t>
      </w:r>
    </w:p>
    <w:p>
      <w:pPr>
        <w:pStyle w:val="Heading4"/>
      </w:pPr>
      <w:bookmarkStart w:id="327" w:name="watch-the-kaltura-video-embedded-html-iframe-from-secure-https"/>
      <w:bookmarkEnd w:id="327"/>
      <w:r>
        <w:t xml:space="preserve">Watch the Kaltura Video: embedded HTML iframe from secure https</w:t>
      </w:r>
    </w:p>
    <w:p>
      <w:pPr>
        <w:pStyle w:val="FirstParagraph"/>
      </w:pPr>
      <w:r>
        <w:rPr>
          <w:i/>
        </w:rPr>
        <w:t xml:space="preserve">REMINDER: Insert caption, shortlinks, and footnote immediately afterwards in body text, in italics.</w:t>
      </w:r>
    </w:p>
    <w:p>
      <w:pPr>
        <w:pStyle w:val="Heading5"/>
      </w:pPr>
      <w:bookmarkStart w:id="328" w:name="explore-the-source-embedded-pdf"/>
      <w:bookmarkEnd w:id="328"/>
      <w:r>
        <w:t xml:space="preserve">Explore the Source: embedded PDF</w:t>
      </w:r>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5"/>
          <w:ilvl w:val="0"/>
        </w:numPr>
      </w:pPr>
      <w:r>
        <w:t xml:space="preserve">See</w:t>
      </w:r>
      <w:r>
        <w:t xml:space="preserve"> </w:t>
      </w:r>
      <w:hyperlink r:id="rId329">
        <w:r>
          <w:rPr>
            <w:rStyle w:val="Hyperlink"/>
          </w:rPr>
          <w:t xml:space="preserve">https://pdfobject.com/static.html</w:t>
        </w:r>
      </w:hyperlink>
    </w:p>
    <w:p>
      <w:pPr>
        <w:pStyle w:val="Compact"/>
        <w:numPr>
          <w:numId w:val="1015"/>
          <w:ilvl w:val="0"/>
        </w:numPr>
      </w:pPr>
      <w:r>
        <w:t xml:space="preserve">See</w:t>
      </w:r>
      <w:r>
        <w:t xml:space="preserve"> </w:t>
      </w:r>
      <w:hyperlink r:id="rId330">
        <w:r>
          <w:rPr>
            <w:rStyle w:val="Hyperlink"/>
          </w:rPr>
          <w:t xml:space="preserve">https://github.com/mozilla/pdf.js</w:t>
        </w:r>
      </w:hyperlink>
    </w:p>
    <w:p>
      <w:pPr>
        <w:pStyle w:val="Heading4"/>
      </w:pPr>
      <w:bookmarkStart w:id="331" w:name="about-this-book-8"/>
      <w:bookmarkEnd w:id="331"/>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332" w:name="mapping"/>
      <w:bookmarkEnd w:id="332"/>
      <w:r>
        <w:t xml:space="preserve">Mapping</w:t>
      </w:r>
      <w:r>
        <w:t xml:space="preserve"> </w:t>
      </w:r>
      <w:r>
        <w:rPr>
          <w:i/>
        </w:rPr>
        <w:t xml:space="preserve">On The Line</w:t>
      </w:r>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33" w:name="how-we-found-restrictive-covenants"/>
      <w:bookmarkEnd w:id="333"/>
      <w:r>
        <w:t xml:space="preserve">How We Found Restrictive Covenants</w:t>
      </w:r>
    </w:p>
    <w:p>
      <w:pPr>
        <w:pStyle w:val="FirstParagraph"/>
      </w:pPr>
      <w:r>
        <w:rPr>
          <w:i/>
        </w:rPr>
        <w:t xml:space="preserve">by</w:t>
      </w:r>
      <w:r>
        <w:rPr>
          <w:i/>
        </w:rPr>
        <w:t xml:space="preserve"> </w:t>
      </w:r>
      <w:hyperlink r:id="rId81">
        <w:r>
          <w:rPr>
            <w:rStyle w:val="Hyperlink"/>
            <w:i/>
          </w:rPr>
          <w:t xml:space="preserve">Katie Campbell Levasseur and Jack Dougherty</w:t>
        </w:r>
      </w:hyperlink>
    </w:p>
    <w:p>
      <w:pPr>
        <w:pStyle w:val="BodyText"/>
      </w:pPr>
      <w:r>
        <w:t xml:space="preserve">The</w:t>
      </w:r>
      <w:r>
        <w:t xml:space="preserve"> </w:t>
      </w:r>
      <w:hyperlink r:id="rId35">
        <w:r>
          <w:rPr>
            <w:rStyle w:val="Hyperlink"/>
          </w:rPr>
          <w:t xml:space="preserve">Restricting with Property Covenants</w:t>
        </w:r>
      </w:hyperlink>
      <w:r>
        <w:t xml:space="preserve"> </w:t>
      </w:r>
      <w:r>
        <w:t xml:space="preserve">section in this book was inspired by the</w:t>
      </w:r>
      <w:r>
        <w:t xml:space="preserve"> </w:t>
      </w:r>
      <w:hyperlink r:id="rId334">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35"/>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36" w:name="watch-the-video-how-we-found-restrictive-covenants-2011"/>
      <w:bookmarkEnd w:id="336"/>
      <w:r>
        <w:t xml:space="preserve">Watch the Video: How We Found Restrictive Covenants, 2011</w:t>
      </w:r>
    </w:p>
    <w:p>
      <w:pPr>
        <w:pStyle w:val="FirstParagraph"/>
      </w:pPr>
      <w:r>
        <w:rPr>
          <w:i/>
        </w:rPr>
        <w:t xml:space="preserve">Katie Campbell Levasseur describes the process of locating restrictive covenants in the Town of West Hartford property records.</w:t>
      </w:r>
      <w:r>
        <w:rPr>
          <w:rStyle w:val="FootnoteReference"/>
        </w:rPr>
        <w:footnoteReference w:id="337"/>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39"/>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40"/>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342"/>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343">
        <w:r>
          <w:rPr>
            <w:rStyle w:val="Hyperlink"/>
          </w:rPr>
          <w:t xml:space="preserve">GitHub public repository</w:t>
        </w:r>
      </w:hyperlink>
      <w:r>
        <w:t xml:space="preserve"> </w:t>
      </w:r>
      <w:r>
        <w:t xml:space="preserve">and an interactive Leaflet map.</w:t>
      </w:r>
      <w:r>
        <w:rPr>
          <w:rStyle w:val="FootnoteReference"/>
        </w:rPr>
        <w:footnoteReference w:id="344"/>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346"/>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347"/>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1">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348" w:name="about-this-book-9"/>
      <w:bookmarkEnd w:id="348"/>
      <w:r>
        <w:t xml:space="preserve">About this book</w:t>
      </w:r>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6">
        <w:r>
          <w:rPr>
            <w:rStyle w:val="Hyperlink"/>
          </w:rPr>
          <w:t xml:space="preserve">On The Line</w:t>
        </w:r>
      </w:hyperlink>
      <w:r>
        <w:t xml:space="preserve"> </w:t>
      </w:r>
      <w:r>
        <w:t xml:space="preserve">is an open-access, born-digital, book-in-progress by</w:t>
      </w:r>
      <w:r>
        <w:t xml:space="preserve"> </w:t>
      </w:r>
      <w:hyperlink r:id="rId81">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2019-02-12</w:t>
      </w:r>
    </w:p>
    <w:p>
      <w:pPr>
        <w:pStyle w:val="Heading1"/>
      </w:pPr>
      <w:bookmarkStart w:id="349" w:name="bibliography"/>
      <w:bookmarkEnd w:id="349"/>
      <w:r>
        <w:t xml:space="preserve">Bibliography</w:t>
      </w:r>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p>
    <w:p>
      <w:pPr>
        <w:pStyle w:val="Bibliography"/>
      </w:pPr>
      <w:r>
        <w:t xml:space="preserve">“A Suggestive Contrast.”</w:t>
      </w:r>
      <w:r>
        <w:t xml:space="preserve"> </w:t>
      </w:r>
      <w:r>
        <w:rPr>
          <w:i/>
        </w:rPr>
        <w:t xml:space="preserve">Hartford Daily Courant</w:t>
      </w:r>
      <w:r>
        <w:t xml:space="preserve">, October 1878, 2.</w:t>
      </w:r>
    </w:p>
    <w:p>
      <w:pPr>
        <w:pStyle w:val="Bibliography"/>
      </w:pPr>
      <w:r>
        <w:t xml:space="preserve">“Ad: Modern Homes in High Ledge.”</w:t>
      </w:r>
      <w:r>
        <w:t xml:space="preserve"> </w:t>
      </w:r>
      <w:r>
        <w:rPr>
          <w:i/>
        </w:rPr>
        <w:t xml:space="preserve">The Hartford Courant</w:t>
      </w:r>
      <w:r>
        <w:t xml:space="preserve">, March 1940, B3.</w:t>
      </w:r>
    </w:p>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1938.</w:t>
      </w:r>
    </w:p>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1936.</w:t>
      </w:r>
    </w:p>
    <w:p>
      <w:pPr>
        <w:pStyle w:val="Bibliography"/>
      </w:pPr>
      <w:r>
        <w:t xml:space="preserve">“An Art Museum.”</w:t>
      </w:r>
      <w:r>
        <w:t xml:space="preserve"> </w:t>
      </w:r>
      <w:r>
        <w:rPr>
          <w:i/>
        </w:rPr>
        <w:t xml:space="preserve">Hartford Daily Courant</w:t>
      </w:r>
      <w:r>
        <w:t xml:space="preserve">, April 1871, 2.</w:t>
      </w:r>
    </w:p>
    <w:p>
      <w:pPr>
        <w:pStyle w:val="Bibliography"/>
      </w:pPr>
      <w:r>
        <w:t xml:space="preserve">Association, Oral History. “Principles and Best Practices.”</w:t>
      </w:r>
      <w:r>
        <w:t xml:space="preserve"> </w:t>
      </w:r>
      <w:hyperlink r:id="rId283">
        <w:r>
          <w:rPr>
            <w:rStyle w:val="Hyperlink"/>
          </w:rPr>
          <w:t xml:space="preserve">http://www.oralhistory.org/do-oral-history/principles-and-practices/</w:t>
        </w:r>
      </w:hyperlink>
      <w:r>
        <w:t xml:space="preserve">, 2009.</w:t>
      </w:r>
    </w:p>
    <w:p>
      <w:pPr>
        <w:pStyle w:val="Bibliography"/>
      </w:pPr>
      <w:r>
        <w:t xml:space="preserve">Bailey, Chauncey. “Non-Resident Students Again Attending Bloomfield Schools.”</w:t>
      </w:r>
      <w:r>
        <w:t xml:space="preserve"> </w:t>
      </w:r>
      <w:r>
        <w:rPr>
          <w:i/>
        </w:rPr>
        <w:t xml:space="preserve">Hartford Courant</w:t>
      </w:r>
      <w:r>
        <w:t xml:space="preserve">, September 1976, 45.</w:t>
      </w:r>
    </w:p>
    <w:p>
      <w:pPr>
        <w:pStyle w:val="Bibliography"/>
      </w:pPr>
      <w:r>
        <w:t xml:space="preserve">Bass, Paul. “Case on Residency and Schools Halted.”</w:t>
      </w:r>
      <w:r>
        <w:t xml:space="preserve"> </w:t>
      </w:r>
      <w:r>
        <w:rPr>
          <w:i/>
        </w:rPr>
        <w:t xml:space="preserve">New York Times</w:t>
      </w:r>
      <w:r>
        <w:t xml:space="preserve">, June 1985, CN14.</w:t>
      </w:r>
    </w:p>
    <w:p>
      <w:pPr>
        <w:pStyle w:val="Bibliography"/>
      </w:pPr>
      <w:r>
        <w:t xml:space="preserve">“Bernstein Seeks End of Restrictive Clauses.”</w:t>
      </w:r>
      <w:r>
        <w:t xml:space="preserve"> </w:t>
      </w:r>
      <w:r>
        <w:rPr>
          <w:i/>
        </w:rPr>
        <w:t xml:space="preserve">The Hartford Courant</w:t>
      </w:r>
      <w:r>
        <w:t xml:space="preserve">, March 1947, 21.</w:t>
      </w:r>
    </w:p>
    <w:p>
      <w:pPr>
        <w:pStyle w:val="Bibliography"/>
      </w:pPr>
      <w:r>
        <w:t xml:space="preserve">Bernstein, Simon. “Oral History Interview on Connecticut Civil Rights.”</w:t>
      </w:r>
      <w:r>
        <w:t xml:space="preserve"> </w:t>
      </w:r>
      <w:hyperlink r:id="rId190">
        <w:r>
          <w:rPr>
            <w:rStyle w:val="Hyperlink"/>
          </w:rPr>
          <w:t xml:space="preserve">http://digitalrepository.trincoll.edu/cssp_ohistory/19</w:t>
        </w:r>
      </w:hyperlink>
      <w:r>
        <w:t xml:space="preserve">, August 2011.</w:t>
      </w:r>
    </w:p>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p>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p>
    <w:p>
      <w:pPr>
        <w:pStyle w:val="Bibliography"/>
      </w:pPr>
      <w:r>
        <w:t xml:space="preserve">Campbell, Katie, and Jack Dougherty. “How We Found Restrictive Covenants.”</w:t>
      </w:r>
      <w:r>
        <w:t xml:space="preserve"> </w:t>
      </w:r>
      <w:hyperlink r:id="rId338">
        <w:r>
          <w:rPr>
            <w:rStyle w:val="Hyperlink"/>
          </w:rPr>
          <w:t xml:space="preserve">https://vimeo.com/220562166</w:t>
        </w:r>
      </w:hyperlink>
      <w:r>
        <w:t xml:space="preserve">, 2011.</w:t>
      </w:r>
    </w:p>
    <w:p>
      <w:pPr>
        <w:pStyle w:val="Bibliography"/>
      </w:pPr>
      <w:r>
        <w:t xml:space="preserve">Center, Connecticut Fair Housing. “A Guide to Zoning for Fair and Open Communities.” Hartford CT, June 2013.</w:t>
      </w:r>
    </w:p>
    <w:p>
      <w:pPr>
        <w:pStyle w:val="Bibliography"/>
      </w:pPr>
      <w:r>
        <w:t xml:space="preserve">———.</w:t>
      </w:r>
      <w:r>
        <w:t xml:space="preserve"> </w:t>
      </w:r>
      <w:r>
        <w:rPr>
          <w:i/>
        </w:rPr>
        <w:t xml:space="preserve">Analysis of Impediments to Fair Housing Choice 2015</w:t>
      </w:r>
      <w:r>
        <w:t xml:space="preserve">. Hartford: Connecticut Department of Housing, 2015.</w:t>
      </w:r>
    </w:p>
    <w:p>
      <w:pPr>
        <w:pStyle w:val="Bibliography"/>
      </w:pPr>
      <w:r>
        <w:t xml:space="preserve">Center, Connecticut Fair Housing, and Cities Suburbs and Schools Project at Trinity College. “Connecticut Zoning Initiative.”</w:t>
      </w:r>
      <w:r>
        <w:t xml:space="preserve"> </w:t>
      </w:r>
      <w:hyperlink r:id="rId215">
        <w:r>
          <w:rPr>
            <w:rStyle w:val="Hyperlink"/>
          </w:rPr>
          <w:t xml:space="preserve">http://commons.trincoll.edu/cssp/zoning/</w:t>
        </w:r>
      </w:hyperlink>
      <w:r>
        <w:t xml:space="preserve">, 2013.</w:t>
      </w:r>
    </w:p>
    <w:p>
      <w:pPr>
        <w:pStyle w:val="Bibliography"/>
      </w:pPr>
      <w:r>
        <w:t xml:space="preserve">Cities, Suburbs, and Schools Project, Trinity College Digital Repository.</w:t>
      </w:r>
      <w:r>
        <w:t xml:space="preserve"> </w:t>
      </w:r>
      <w:hyperlink r:id="rId274">
        <w:r>
          <w:rPr>
            <w:rStyle w:val="Hyperlink"/>
          </w:rPr>
          <w:t xml:space="preserve">https://digitalrepository.trincoll.edu/cssp/</w:t>
        </w:r>
      </w:hyperlink>
      <w:r>
        <w:t xml:space="preserve">, n.d.</w:t>
      </w:r>
    </w:p>
    <w:p>
      <w:pPr>
        <w:pStyle w:val="Bibliography"/>
      </w:pPr>
      <w:r>
        <w:t xml:space="preserve">Clark, Charles H. “The Charter Oak City.”</w:t>
      </w:r>
      <w:r>
        <w:t xml:space="preserve"> </w:t>
      </w:r>
      <w:r>
        <w:rPr>
          <w:i/>
        </w:rPr>
        <w:t xml:space="preserve">Scribner’s Monthly</w:t>
      </w:r>
      <w:r>
        <w:t xml:space="preserve"> </w:t>
      </w:r>
      <w:r>
        <w:t xml:space="preserve">13, no. 1 (November 1876): 1–21.</w:t>
      </w:r>
    </w:p>
    <w:p>
      <w:pPr>
        <w:pStyle w:val="Bibliography"/>
      </w:pPr>
      <w:r>
        <w:t xml:space="preserve">Coates, Ta-Nehisi. “The Case for Reparations.”</w:t>
      </w:r>
      <w:r>
        <w:t xml:space="preserve"> </w:t>
      </w:r>
      <w:r>
        <w:rPr>
          <w:i/>
        </w:rPr>
        <w:t xml:space="preserve">The Atlantic</w:t>
      </w:r>
      <w:r>
        <w:t xml:space="preserve">.</w:t>
      </w:r>
      <w:r>
        <w:t xml:space="preserve"> </w:t>
      </w:r>
      <w:hyperlink r:id="rId187">
        <w:r>
          <w:rPr>
            <w:rStyle w:val="Hyperlink"/>
          </w:rPr>
          <w:t xml:space="preserve">http://www.theatlantic.com/galleries/reparations/1/</w:t>
        </w:r>
      </w:hyperlink>
      <w:r>
        <w:t xml:space="preserve">, June 2014.</w:t>
      </w:r>
    </w:p>
    <w:p>
      <w:pPr>
        <w:pStyle w:val="Bibliography"/>
      </w:pPr>
      <w:r>
        <w:t xml:space="preserve">Condon, Tom. “‘Troubled City’ a Victim of Geography.”</w:t>
      </w:r>
      <w:r>
        <w:t xml:space="preserve"> </w:t>
      </w:r>
      <w:r>
        <w:rPr>
          <w:i/>
        </w:rPr>
        <w:t xml:space="preserve">Hartford Courant</w:t>
      </w:r>
      <w:r>
        <w:t xml:space="preserve">, September 2002, B1.</w:t>
      </w:r>
    </w:p>
    <w:p>
      <w:pPr>
        <w:pStyle w:val="Bibliography"/>
      </w:pPr>
      <w:r>
        <w:t xml:space="preserve">Connecticut State Department of Education. “School and Grade Enrollment by Race, 1977-1984,” n.d.</w:t>
      </w:r>
    </w:p>
    <w:p>
      <w:pPr>
        <w:pStyle w:val="Bibliography"/>
      </w:pPr>
      <w:r>
        <w:t xml:space="preserve">———.</w:t>
      </w:r>
      <w:r>
        <w:t xml:space="preserve"> </w:t>
      </w:r>
      <w:r>
        <w:rPr>
          <w:i/>
        </w:rPr>
        <w:t xml:space="preserve">The Distribution of Negroes in the Public Schools of Connecticut, 1967-68</w:t>
      </w:r>
      <w:r>
        <w:t xml:space="preserve">. Hartford, 1967.</w:t>
      </w:r>
    </w:p>
    <w:p>
      <w:pPr>
        <w:pStyle w:val="Bibliography"/>
      </w:pPr>
      <w:r>
        <w:t xml:space="preserve">Corporation, Home Owners’ Loan. “Residential Security Map and Area Descriptions, Hartford-West Hartford-East Hartford, Connecticut.”</w:t>
      </w:r>
      <w:r>
        <w:t xml:space="preserve"> </w:t>
      </w:r>
      <w:hyperlink r:id="rId135">
        <w:r>
          <w:rPr>
            <w:rStyle w:val="Hyperlink"/>
          </w:rPr>
          <w:t xml:space="preserve">http://digitalrepository.trincoll.edu/cssp_archives/14/</w:t>
        </w:r>
      </w:hyperlink>
      <w:r>
        <w:t xml:space="preserve">, 1937.</w:t>
      </w:r>
    </w:p>
    <w:p>
      <w:pPr>
        <w:pStyle w:val="Bibliography"/>
      </w:pPr>
      <w:r>
        <w:t xml:space="preserve">———. “Residential Security ’Redlining’ Map, East Hartford CT.”</w:t>
      </w:r>
      <w:r>
        <w:t xml:space="preserve"> </w:t>
      </w:r>
      <w:hyperlink r:id="rId136">
        <w:r>
          <w:rPr>
            <w:rStyle w:val="Hyperlink"/>
          </w:rPr>
          <w:t xml:space="preserve">http://mapwarper.net/maps/15097</w:t>
        </w:r>
      </w:hyperlink>
      <w:r>
        <w:t xml:space="preserve">, 1937.</w:t>
      </w:r>
    </w:p>
    <w:p>
      <w:pPr>
        <w:pStyle w:val="Bibliography"/>
      </w:pPr>
      <w:r>
        <w:t xml:space="preserve">———. “Residential Security ’Redlining’ Map, West Hartford-Hartford, CT.”</w:t>
      </w:r>
      <w:r>
        <w:t xml:space="preserve"> </w:t>
      </w:r>
      <w:hyperlink r:id="rId133">
        <w:r>
          <w:rPr>
            <w:rStyle w:val="Hyperlink"/>
          </w:rPr>
          <w:t xml:space="preserve">http://mapwarper.net/maps/15096</w:t>
        </w:r>
      </w:hyperlink>
      <w:r>
        <w:t xml:space="preserve">, 1937.</w:t>
      </w:r>
    </w:p>
    <w:p>
      <w:pPr>
        <w:pStyle w:val="Bibliography"/>
      </w:pPr>
      <w:r>
        <w:t xml:space="preserve">“Corrigan V. Buckley.”</w:t>
      </w:r>
      <w:r>
        <w:t xml:space="preserve"> </w:t>
      </w:r>
      <w:hyperlink r:id="rId179">
        <w:r>
          <w:rPr>
            <w:rStyle w:val="Hyperlink"/>
          </w:rPr>
          <w:t xml:space="preserve">https://scholar.google.com/scholar_case?case=11135903580197116691</w:t>
        </w:r>
      </w:hyperlink>
      <w:r>
        <w:t xml:space="preserve">, May 1926.</w:t>
      </w:r>
    </w:p>
    <w:p>
      <w:pPr>
        <w:pStyle w:val="Bibliography"/>
      </w:pPr>
      <w:r>
        <w:t xml:space="preserve">Council, Connecticut Public Expenditure.</w:t>
      </w:r>
      <w:r>
        <w:t xml:space="preserve"> </w:t>
      </w:r>
      <w:r>
        <w:rPr>
          <w:i/>
        </w:rPr>
        <w:t xml:space="preserve">Local Public School Expenses and State Aid in Connecticut</w:t>
      </w:r>
      <w:r>
        <w:t xml:space="preserve">. Hartford: CPEC, n.d.</w:t>
      </w:r>
    </w:p>
    <w:p>
      <w:pPr>
        <w:pStyle w:val="Bibliography"/>
      </w:pPr>
      <w:r>
        <w:t xml:space="preserve">“Couple Ask Tuition-Free Schooling for Girl but Residency Is Disputed.”</w:t>
      </w:r>
      <w:r>
        <w:t xml:space="preserve"> </w:t>
      </w:r>
      <w:r>
        <w:rPr>
          <w:i/>
        </w:rPr>
        <w:t xml:space="preserve">Hartford Courant</w:t>
      </w:r>
      <w:r>
        <w:t xml:space="preserve">, February 1959, 6.</w:t>
      </w:r>
    </w:p>
    <w:p>
      <w:pPr>
        <w:pStyle w:val="Bibliography"/>
      </w:pPr>
      <w:r>
        <w:t xml:space="preserve">Courtney, Steve. “Commentary: Was Hartford ’the Richest City in the United States’?”</w:t>
      </w:r>
      <w:r>
        <w:t xml:space="preserve"> </w:t>
      </w:r>
      <w:r>
        <w:rPr>
          <w:i/>
        </w:rPr>
        <w:t xml:space="preserve">Hartford Courant</w:t>
      </w:r>
      <w:r>
        <w:t xml:space="preserve">, October 2014.</w:t>
      </w:r>
    </w:p>
    <w:p>
      <w:pPr>
        <w:pStyle w:val="Bibliography"/>
      </w:pPr>
      <w:r>
        <w:t xml:space="preserve">DC, Prologue. “Mapping Segregation in Washington DC.”</w:t>
      </w:r>
      <w:r>
        <w:t xml:space="preserve"> </w:t>
      </w:r>
      <w:hyperlink r:id="rId180">
        <w:r>
          <w:rPr>
            <w:rStyle w:val="Hyperlink"/>
          </w:rPr>
          <w:t xml:space="preserve">http://prologuedc.com/blog/mapping-segregation</w:t>
        </w:r>
      </w:hyperlink>
      <w:r>
        <w:t xml:space="preserve">, 2015.</w:t>
      </w:r>
    </w:p>
    <w:p>
      <w:pPr>
        <w:pStyle w:val="Bibliography"/>
      </w:pPr>
      <w:r>
        <w:t xml:space="preserve">Dougherty et al., Jack. “Whose Civil Rights Stories on the Web? Authorship, Ownership, Access and Content in Digital History.” Conference Session. Milwaukee, WI:</w:t>
      </w:r>
      <w:r>
        <w:t xml:space="preserve"> </w:t>
      </w:r>
      <w:hyperlink r:id="rId276">
        <w:r>
          <w:rPr>
            <w:rStyle w:val="Hyperlink"/>
          </w:rPr>
          <w:t xml:space="preserve">http://digitalrepository.trincoll.edu/cssp_papers/40/</w:t>
        </w:r>
      </w:hyperlink>
      <w:r>
        <w:t xml:space="preserve">, April 2012.</w:t>
      </w:r>
    </w:p>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p>
    <w:p>
      <w:pPr>
        <w:pStyle w:val="Bibliography"/>
      </w:pPr>
      <w:r>
        <w:t xml:space="preserve">———. “More Than One Struggle Oral History Project Records.”</w:t>
      </w:r>
      <w:r>
        <w:t xml:space="preserve"> </w:t>
      </w:r>
      <w:r>
        <w:rPr>
          <w:i/>
        </w:rPr>
        <w:t xml:space="preserve">University of Wisconsin Milwaukee Libraries</w:t>
      </w:r>
      <w:r>
        <w:t xml:space="preserve">.</w:t>
      </w:r>
      <w:r>
        <w:t xml:space="preserve"> </w:t>
      </w:r>
      <w:hyperlink r:id="rId278">
        <w:r>
          <w:rPr>
            <w:rStyle w:val="Hyperlink"/>
          </w:rPr>
          <w:t xml:space="preserve">http://digicoll.library.wisc.edu/cgi/f/findaid/findaid-idx?c=wiarchives;view=reslist;subview=standard;didno=uw-mil-uwmmss0217</w:t>
        </w:r>
      </w:hyperlink>
      <w:r>
        <w:t xml:space="preserve">, 2004.</w:t>
      </w:r>
    </w:p>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p>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p>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p>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p>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p>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p>
      <w:pPr>
        <w:pStyle w:val="Bibliography"/>
      </w:pPr>
      <w:r>
        <w:t xml:space="preserve">Drury, Dave. “2 City Parents Are Charged in Residence Case.”</w:t>
      </w:r>
      <w:r>
        <w:t xml:space="preserve"> </w:t>
      </w:r>
      <w:r>
        <w:rPr>
          <w:i/>
        </w:rPr>
        <w:t xml:space="preserve">Hartford Courant</w:t>
      </w:r>
      <w:r>
        <w:t xml:space="preserve">, April 1985, AA1.</w:t>
      </w:r>
    </w:p>
    <w:p>
      <w:pPr>
        <w:pStyle w:val="Bibliography"/>
      </w:pPr>
      <w:r>
        <w:t xml:space="preserve">———. “Bloomfield Alters Its Policy for School Residence Cases.”</w:t>
      </w:r>
      <w:r>
        <w:t xml:space="preserve"> </w:t>
      </w:r>
      <w:r>
        <w:rPr>
          <w:i/>
        </w:rPr>
        <w:t xml:space="preserve">Hartford Courant</w:t>
      </w:r>
      <w:r>
        <w:t xml:space="preserve">, August 1985.</w:t>
      </w:r>
    </w:p>
    <w:p>
      <w:pPr>
        <w:pStyle w:val="Bibliography"/>
      </w:pPr>
      <w:r>
        <w:t xml:space="preserve">———. “Bloomfield Cracking down on Non-Residents in Schools.”</w:t>
      </w:r>
      <w:r>
        <w:t xml:space="preserve"> </w:t>
      </w:r>
      <w:r>
        <w:rPr>
          <w:i/>
        </w:rPr>
        <w:t xml:space="preserve">Hartford Courant</w:t>
      </w:r>
      <w:r>
        <w:t xml:space="preserve">, March 1985, A1.</w:t>
      </w:r>
    </w:p>
    <w:p>
      <w:pPr>
        <w:pStyle w:val="Bibliography"/>
      </w:pPr>
      <w:r>
        <w:t xml:space="preserve">———. “’Line Jumping’ Is Issue Statewide, Officials Say.”</w:t>
      </w:r>
      <w:r>
        <w:t xml:space="preserve"> </w:t>
      </w:r>
      <w:r>
        <w:rPr>
          <w:i/>
        </w:rPr>
        <w:t xml:space="preserve">Hartford Courant</w:t>
      </w:r>
      <w:r>
        <w:t xml:space="preserve">, April 1985, B1.</w:t>
      </w:r>
    </w:p>
    <w:p>
      <w:pPr>
        <w:pStyle w:val="Bibliography"/>
      </w:pPr>
      <w:r>
        <w:t xml:space="preserve">“Editorial: In Defense of Hartford.”</w:t>
      </w:r>
      <w:r>
        <w:t xml:space="preserve"> </w:t>
      </w:r>
      <w:r>
        <w:rPr>
          <w:i/>
        </w:rPr>
        <w:t xml:space="preserve">Hartford Courant</w:t>
      </w:r>
      <w:r>
        <w:t xml:space="preserve">, August 2002, A10.</w:t>
      </w:r>
    </w:p>
    <w:p>
      <w:pPr>
        <w:pStyle w:val="Bibliography"/>
      </w:pPr>
      <w:r>
        <w:t xml:space="preserve">Elsen, Jon. “Bloomfield Officials Laud School Officer’s Work.”</w:t>
      </w:r>
      <w:r>
        <w:t xml:space="preserve"> </w:t>
      </w:r>
      <w:r>
        <w:rPr>
          <w:i/>
        </w:rPr>
        <w:t xml:space="preserve">The Hartford Courant (1923-1991)</w:t>
      </w:r>
      <w:r>
        <w:t xml:space="preserve">, April 1986, B2.</w:t>
      </w:r>
    </w:p>
    <w:p>
      <w:pPr>
        <w:pStyle w:val="Bibliography"/>
      </w:pPr>
      <w:r>
        <w:t xml:space="preserve">Englehart, Bob. “Editorial Cartoon: Bloomfield High School.”</w:t>
      </w:r>
      <w:r>
        <w:t xml:space="preserve"> </w:t>
      </w:r>
      <w:r>
        <w:rPr>
          <w:i/>
        </w:rPr>
        <w:t xml:space="preserve">Hartford Courant</w:t>
      </w:r>
      <w:r>
        <w:t xml:space="preserve">, April 1985, C8.</w:t>
      </w:r>
    </w:p>
    <w:p>
      <w:pPr>
        <w:pStyle w:val="Bibliography"/>
      </w:pPr>
      <w:r>
        <w:t xml:space="preserve">Everett, Mary. “Oral History Interview on West Hartford.”</w:t>
      </w:r>
      <w:r>
        <w:t xml:space="preserve"> </w:t>
      </w:r>
      <w:hyperlink r:id="rId195">
        <w:r>
          <w:rPr>
            <w:rStyle w:val="Hyperlink"/>
          </w:rPr>
          <w:t xml:space="preserve">http://digitalrepository.trincoll.edu/cssp_ohistory/23</w:t>
        </w:r>
      </w:hyperlink>
      <w:r>
        <w:t xml:space="preserve">, July 2011.</w:t>
      </w:r>
    </w:p>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p>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p>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p>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p>
    <w:p>
      <w:pPr>
        <w:pStyle w:val="Bibliography"/>
      </w:pPr>
      <w:r>
        <w:t xml:space="preserve">Gregory, James. “Segregated Seattle.”</w:t>
      </w:r>
      <w:r>
        <w:t xml:space="preserve"> </w:t>
      </w:r>
      <w:r>
        <w:rPr>
          <w:i/>
        </w:rPr>
        <w:t xml:space="preserve">Seattle Civil Rights &amp; Labor History Project</w:t>
      </w:r>
      <w:r>
        <w:t xml:space="preserve">.</w:t>
      </w:r>
      <w:r>
        <w:t xml:space="preserve"> </w:t>
      </w:r>
      <w:hyperlink r:id="rId188">
        <w:r>
          <w:rPr>
            <w:rStyle w:val="Hyperlink"/>
          </w:rPr>
          <w:t xml:space="preserve">https://depts.washington.edu/civilr/segregated.htm</w:t>
        </w:r>
      </w:hyperlink>
      <w:r>
        <w:t xml:space="preserve">, 2010.</w:t>
      </w:r>
    </w:p>
    <w:p>
      <w:pPr>
        <w:pStyle w:val="Bibliography"/>
      </w:pPr>
      <w:r>
        <w:t xml:space="preserve">Hansen, Susan. “Oral History Interview on West Hartford.”</w:t>
      </w:r>
      <w:r>
        <w:t xml:space="preserve"> </w:t>
      </w:r>
      <w:hyperlink r:id="rId200">
        <w:r>
          <w:rPr>
            <w:rStyle w:val="Hyperlink"/>
          </w:rPr>
          <w:t xml:space="preserve">http://digitalrepository.trincoll.edu/cssp_ohistory/17</w:t>
        </w:r>
      </w:hyperlink>
      <w:r>
        <w:t xml:space="preserve">, July 2011.</w:t>
      </w:r>
    </w:p>
    <w:p>
      <w:pPr>
        <w:pStyle w:val="Bibliography"/>
      </w:pPr>
      <w:r>
        <w:t xml:space="preserve">“Hartford as the ‘Richest City’: A Great Financial Center.”</w:t>
      </w:r>
      <w:r>
        <w:t xml:space="preserve"> </w:t>
      </w:r>
      <w:r>
        <w:rPr>
          <w:i/>
        </w:rPr>
        <w:t xml:space="preserve">Hartford Courant</w:t>
      </w:r>
      <w:r>
        <w:t xml:space="preserve">, October 1908, C1.</w:t>
      </w:r>
    </w:p>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p>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p>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p>
      <w:pPr>
        <w:pStyle w:val="Bibliography"/>
      </w:pPr>
      <w:r>
        <w:t xml:space="preserve">Hirsh, Linda B. “Schools to Use New Policies to Exclude Out-of-Town Residents.”</w:t>
      </w:r>
      <w:r>
        <w:t xml:space="preserve"> </w:t>
      </w:r>
      <w:r>
        <w:rPr>
          <w:i/>
        </w:rPr>
        <w:t xml:space="preserve">Hartford Courant</w:t>
      </w:r>
      <w:r>
        <w:t xml:space="preserve">, July 1992, B5.</w:t>
      </w:r>
    </w:p>
    <w:p>
      <w:pPr>
        <w:pStyle w:val="Bibliography"/>
      </w:pPr>
      <w:r>
        <w:t xml:space="preserve">Ilyankou, Ilya, and Jack Dougherty. “Map: Federal HOLC ‘Redlining’ in Hartford Area, CT, 1937.”</w:t>
      </w:r>
      <w:r>
        <w:t xml:space="preserve"> </w:t>
      </w:r>
      <w:r>
        <w:rPr>
          <w:i/>
        </w:rPr>
        <w:t xml:space="preserve">On the Line</w:t>
      </w:r>
      <w:r>
        <w:t xml:space="preserve">.</w:t>
      </w:r>
      <w:r>
        <w:t xml:space="preserve"> </w:t>
      </w:r>
      <w:hyperlink r:id="rId140">
        <w:r>
          <w:rPr>
            <w:rStyle w:val="Hyperlink"/>
          </w:rPr>
          <w:t xml:space="preserve">https://github.com/OnTheLine/otl-redlining</w:t>
        </w:r>
      </w:hyperlink>
      <w:r>
        <w:t xml:space="preserve">, 2017.</w:t>
      </w:r>
    </w:p>
    <w:p>
      <w:pPr>
        <w:pStyle w:val="Bibliography"/>
      </w:pPr>
      <w:r>
        <w:t xml:space="preserve">———. “Map: Home Value Index in Hartford County CT from 1910-2010.”</w:t>
      </w:r>
      <w:r>
        <w:t xml:space="preserve"> </w:t>
      </w:r>
      <w:r>
        <w:rPr>
          <w:i/>
        </w:rPr>
        <w:t xml:space="preserve">On the Line</w:t>
      </w:r>
      <w:r>
        <w:t xml:space="preserve">.</w:t>
      </w:r>
      <w:r>
        <w:t xml:space="preserve"> </w:t>
      </w:r>
      <w:hyperlink r:id="rId107">
        <w:r>
          <w:rPr>
            <w:rStyle w:val="Hyperlink"/>
          </w:rPr>
          <w:t xml:space="preserve">https://github.com/OnTheLine/otl-home-value</w:t>
        </w:r>
      </w:hyperlink>
      <w:r>
        <w:t xml:space="preserve">, 2017.</w:t>
      </w:r>
    </w:p>
    <w:p>
      <w:pPr>
        <w:pStyle w:val="Bibliography"/>
      </w:pPr>
      <w:r>
        <w:t xml:space="preserve">———. “Map: Restrictive Covenants in Hartford Area, 1940s.”</w:t>
      </w:r>
      <w:r>
        <w:t xml:space="preserve"> </w:t>
      </w:r>
      <w:r>
        <w:rPr>
          <w:i/>
        </w:rPr>
        <w:t xml:space="preserve">On the Line</w:t>
      </w:r>
      <w:r>
        <w:t xml:space="preserve">.</w:t>
      </w:r>
      <w:r>
        <w:t xml:space="preserve"> </w:t>
      </w:r>
      <w:hyperlink r:id="rId175">
        <w:r>
          <w:rPr>
            <w:rStyle w:val="Hyperlink"/>
          </w:rPr>
          <w:t xml:space="preserve">https://github.com/OnTheLine/otl-covenants</w:t>
        </w:r>
      </w:hyperlink>
      <w:r>
        <w:t xml:space="preserve">, 2017.</w:t>
      </w:r>
    </w:p>
    <w:p>
      <w:pPr>
        <w:pStyle w:val="Bibliography"/>
      </w:pPr>
      <w:r>
        <w:t xml:space="preserve">———. “Map: Town Borders in Hartford County, CT from 1600s to Present.”</w:t>
      </w:r>
      <w:r>
        <w:t xml:space="preserve"> </w:t>
      </w:r>
      <w:r>
        <w:rPr>
          <w:i/>
        </w:rPr>
        <w:t xml:space="preserve">On the Line</w:t>
      </w:r>
      <w:r>
        <w:t xml:space="preserve">.</w:t>
      </w:r>
      <w:r>
        <w:t xml:space="preserve"> </w:t>
      </w:r>
      <w:hyperlink r:id="rId116">
        <w:r>
          <w:rPr>
            <w:rStyle w:val="Hyperlink"/>
          </w:rPr>
          <w:t xml:space="preserve">https://github.com/OnTheLine/otl-town-borders</w:t>
        </w:r>
      </w:hyperlink>
      <w:r>
        <w:t xml:space="preserve">, 2017.</w:t>
      </w:r>
    </w:p>
    <w:p>
      <w:pPr>
        <w:pStyle w:val="Bibliography"/>
      </w:pPr>
      <w:r>
        <w:t xml:space="preserve">Inc., High Ledge Homes. “Agreement Concerning Building Restrictions: High Ledge Homes Development.”</w:t>
      </w:r>
      <w:r>
        <w:t xml:space="preserve"> </w:t>
      </w:r>
      <w:hyperlink r:id="rId172">
        <w:r>
          <w:rPr>
            <w:rStyle w:val="Hyperlink"/>
          </w:rPr>
          <w:t xml:space="preserve">https://github.com/jackdougherty/otl-covenants</w:t>
        </w:r>
      </w:hyperlink>
      <w:r>
        <w:t xml:space="preserve">, June 1940.</w:t>
      </w:r>
    </w:p>
    <w:p>
      <w:pPr>
        <w:pStyle w:val="Bibliography"/>
      </w:pPr>
      <w:r>
        <w:t xml:space="preserve">Institute, Suburban Action.</w:t>
      </w:r>
      <w:r>
        <w:t xml:space="preserve"> </w:t>
      </w:r>
      <w:r>
        <w:rPr>
          <w:i/>
        </w:rPr>
        <w:t xml:space="preserve">A Study of Zoning in Connecticut: A Preliminary Report Prepared Under Contract with the Connecticut Commission on Human Rights &amp; Opportunities</w:t>
      </w:r>
      <w:r>
        <w:t xml:space="preserve">. New York: The Institute, 1978.</w:t>
      </w:r>
    </w:p>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p>
    <w:p>
      <w:pPr>
        <w:pStyle w:val="Bibliography"/>
      </w:pPr>
      <w:r>
        <w:t xml:space="preserve">Jones, Jane Latus. “Schools Will Accept Tuition Non-Residents.”</w:t>
      </w:r>
      <w:r>
        <w:t xml:space="preserve"> </w:t>
      </w:r>
      <w:r>
        <w:rPr>
          <w:i/>
        </w:rPr>
        <w:t xml:space="preserve">The Bloomfield Journal</w:t>
      </w:r>
      <w:r>
        <w:t xml:space="preserve">, August 1985, 1.</w:t>
      </w:r>
    </w:p>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p>
    <w:p>
      <w:pPr>
        <w:pStyle w:val="Bibliography"/>
      </w:pPr>
      <w:r>
        <w:t xml:space="preserve">Lamb, David. “Once-Gilded City Buffing Itself Up.”</w:t>
      </w:r>
      <w:r>
        <w:t xml:space="preserve"> </w:t>
      </w:r>
      <w:r>
        <w:rPr>
          <w:i/>
        </w:rPr>
        <w:t xml:space="preserve">Los Angeles Times</w:t>
      </w:r>
      <w:r>
        <w:t xml:space="preserve">, June 2003.</w:t>
      </w:r>
    </w:p>
    <w:p>
      <w:pPr>
        <w:pStyle w:val="Bibliography"/>
      </w:pPr>
      <w:r>
        <w:t xml:space="preserve">“March on Milwaukee.”</w:t>
      </w:r>
      <w:r>
        <w:t xml:space="preserve"> </w:t>
      </w:r>
      <w:r>
        <w:rPr>
          <w:i/>
        </w:rPr>
        <w:t xml:space="preserve">University of Wisconsin Milwaukee Libraries</w:t>
      </w:r>
      <w:r>
        <w:t xml:space="preserve">.</w:t>
      </w:r>
      <w:r>
        <w:t xml:space="preserve"> </w:t>
      </w:r>
      <w:hyperlink r:id="rId279">
        <w:r>
          <w:rPr>
            <w:rStyle w:val="Hyperlink"/>
          </w:rPr>
          <w:t xml:space="preserve">https://uwm.edu/marchonmilwaukee/</w:t>
        </w:r>
      </w:hyperlink>
      <w:r>
        <w:t xml:space="preserve">, n.d.</w:t>
      </w:r>
    </w:p>
    <w:p>
      <w:pPr>
        <w:pStyle w:val="Bibliography"/>
      </w:pPr>
      <w:r>
        <w:t xml:space="preserve">“Mayers V. Ridley.”</w:t>
      </w:r>
      <w:r>
        <w:t xml:space="preserve"> </w:t>
      </w:r>
      <w:hyperlink r:id="rId193">
        <w:r>
          <w:rPr>
            <w:rStyle w:val="Hyperlink"/>
          </w:rPr>
          <w:t xml:space="preserve">https://scholar.google.com/scholar_case?case=15478926121065691421</w:t>
        </w:r>
      </w:hyperlink>
      <w:r>
        <w:t xml:space="preserve">, March 1972.</w:t>
      </w:r>
    </w:p>
    <w:p>
      <w:pPr>
        <w:pStyle w:val="Bibliography"/>
      </w:pPr>
      <w:r>
        <w:t xml:space="preserve">McGann, Shaun. “The Effects of ‘Redlining’ on the Hartford Metropolitan Region.”</w:t>
      </w:r>
      <w:r>
        <w:t xml:space="preserve"> </w:t>
      </w:r>
      <w:r>
        <w:rPr>
          <w:i/>
        </w:rPr>
        <w:t xml:space="preserve">ConnecticutHistory.org</w:t>
      </w:r>
      <w:r>
        <w:t xml:space="preserve">.</w:t>
      </w:r>
      <w:r>
        <w:t xml:space="preserve"> </w:t>
      </w:r>
      <w:hyperlink r:id="rId168">
        <w:r>
          <w:rPr>
            <w:rStyle w:val="Hyperlink"/>
          </w:rPr>
          <w:t xml:space="preserve">http://connecticuthistory.org/the-effects-of-redlining-on-the-hartford-metropolitan-region/</w:t>
        </w:r>
      </w:hyperlink>
      <w:r>
        <w:t xml:space="preserve">, March 2014.</w:t>
      </w:r>
    </w:p>
    <w:p>
      <w:pPr>
        <w:pStyle w:val="Bibliography"/>
      </w:pPr>
      <w:r>
        <w:t xml:space="preserve">Mendoza, William, and Anita Ford Saunders. “Jumping the Line.”</w:t>
      </w:r>
      <w:r>
        <w:t xml:space="preserve"> </w:t>
      </w:r>
      <w:r>
        <w:rPr>
          <w:i/>
        </w:rPr>
        <w:t xml:space="preserve">The Public File</w:t>
      </w:r>
      <w:r>
        <w:t xml:space="preserve">. 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p>
      <w:pPr>
        <w:pStyle w:val="Bibliography"/>
      </w:pPr>
      <w:r>
        <w:t xml:space="preserve">Merriam, Alexander R. “The Social Conditions of the Smaller City.”</w:t>
      </w:r>
      <w:r>
        <w:t xml:space="preserve"> </w:t>
      </w:r>
      <w:r>
        <w:rPr>
          <w:i/>
        </w:rPr>
        <w:t xml:space="preserve">The Hartford Courant</w:t>
      </w:r>
      <w:r>
        <w:t xml:space="preserve">, July 1903, 13.</w:t>
      </w:r>
    </w:p>
    <w:p>
      <w:pPr>
        <w:pStyle w:val="Bibliography"/>
      </w:pPr>
      <w:r>
        <w:t xml:space="preserve">———.</w:t>
      </w:r>
      <w:r>
        <w:t xml:space="preserve"> </w:t>
      </w:r>
      <w:r>
        <w:rPr>
          <w:i/>
        </w:rPr>
        <w:t xml:space="preserve">The Social Significance of the Smaller City</w:t>
      </w:r>
      <w:r>
        <w:t xml:space="preserve">. Hartford, Conn.: Hartford Seminary Press, 1903.</w:t>
      </w:r>
    </w:p>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w:t>
      </w:r>
      <w:r>
        <w:t xml:space="preserve"> </w:t>
      </w:r>
      <w:hyperlink r:id="rId130">
        <w:r>
          <w:rPr>
            <w:rStyle w:val="Hyperlink"/>
          </w:rPr>
          <w:t xml:space="preserve">https://dsl.richmond.edu/panorama/redlining/</w:t>
        </w:r>
      </w:hyperlink>
      <w:r>
        <w:t xml:space="preserve">, 2016.</w:t>
      </w:r>
    </w:p>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p>
      <w:pPr>
        <w:pStyle w:val="Bibliography"/>
      </w:pPr>
      <w:r>
        <w:t xml:space="preserve">Neuenschwander, John A.</w:t>
      </w:r>
      <w:r>
        <w:t xml:space="preserve"> </w:t>
      </w:r>
      <w:r>
        <w:rPr>
          <w:i/>
        </w:rPr>
        <w:t xml:space="preserve">A Guide to Oral History and the Law</w:t>
      </w:r>
      <w:r>
        <w:t xml:space="preserve">. New York: Oxford University Press, 2009.</w:t>
      </w:r>
    </w:p>
    <w:p>
      <w:pPr>
        <w:pStyle w:val="Bibliography"/>
      </w:pPr>
      <w:r>
        <w:t xml:space="preserve">Nunes, Joseph F. “Chapter Four: ’Fighting Joe’ and Mark Twain.”</w:t>
      </w:r>
      <w:r>
        <w:t xml:space="preserve"> </w:t>
      </w:r>
      <w:r>
        <w:rPr>
          <w:i/>
        </w:rPr>
        <w:t xml:space="preserve">Hartford Courant</w:t>
      </w:r>
      <w:r>
        <w:t xml:space="preserve">, October 2014.</w:t>
      </w:r>
    </w:p>
    <w:p>
      <w:pPr>
        <w:pStyle w:val="Bibliography"/>
      </w:pPr>
      <w:r>
        <w:t xml:space="preserve">———. “The Lasting Legacy of Charles Hopkins Clark.”</w:t>
      </w:r>
      <w:r>
        <w:t xml:space="preserve"> </w:t>
      </w:r>
      <w:r>
        <w:rPr>
          <w:i/>
        </w:rPr>
        <w:t xml:space="preserve">Hartford Courant</w:t>
      </w:r>
      <w:r>
        <w:t xml:space="preserve">, October 2014.</w:t>
      </w:r>
    </w:p>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p>
    <w:p>
      <w:pPr>
        <w:pStyle w:val="Bibliography"/>
      </w:pP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p>
      <w:pPr>
        <w:pStyle w:val="Bibliography"/>
      </w:pPr>
      <w:r>
        <w:t xml:space="preserve">Porter, Wayne. “Non-Resident Students Long a Problem.”</w:t>
      </w:r>
      <w:r>
        <w:t xml:space="preserve"> </w:t>
      </w:r>
      <w:r>
        <w:rPr>
          <w:i/>
        </w:rPr>
        <w:t xml:space="preserve">Hartford Courant</w:t>
      </w:r>
      <w:r>
        <w:t xml:space="preserve">, May 1985, B8.</w:t>
      </w:r>
    </w:p>
    <w:p>
      <w:pPr>
        <w:pStyle w:val="Bibliography"/>
      </w:pPr>
      <w:r>
        <w:t xml:space="preserve">Reece, Jason, Samir Gambhir, Jillian Olinger, Matthew Martin, and Mark Harris.</w:t>
      </w:r>
      <w:r>
        <w:t xml:space="preserve"> </w:t>
      </w:r>
      <w:r>
        <w:rPr>
          <w:i/>
        </w:rPr>
        <w:t xml:space="preserve">People, Place, and Opportunity: Mapping Communities of Opportunity in Connecticut: A Report Commissioned by the Connecticut Fair Housing Center</w:t>
      </w:r>
      <w:r>
        <w:t xml:space="preserve">. Kirwan Institute for the Study of Race and Ethnicity, The Ohio State University, 2009.</w:t>
      </w:r>
    </w:p>
    <w:p>
      <w:pPr>
        <w:pStyle w:val="Bibliography"/>
      </w:pPr>
      <w:r>
        <w:t xml:space="preserve">Reeves, Troy. “What Do You Think You Own.” In</w:t>
      </w:r>
      <w:r>
        <w:t xml:space="preserve"> </w:t>
      </w:r>
      <w:r>
        <w:rPr>
          <w:i/>
        </w:rPr>
        <w:t xml:space="preserve">Oral History in the Digital Age</w:t>
      </w:r>
      <w:r>
        <w:t xml:space="preserve">, 2012.</w:t>
      </w:r>
    </w:p>
    <w:p>
      <w:pPr>
        <w:pStyle w:val="Bibliography"/>
      </w:pPr>
      <w:r>
        <w:t xml:space="preserve">“Residency Officer’s Job Is in Full Swing.”</w:t>
      </w:r>
      <w:r>
        <w:t xml:space="preserve"> </w:t>
      </w:r>
      <w:r>
        <w:rPr>
          <w:i/>
        </w:rPr>
        <w:t xml:space="preserve">The Bloomfield Journal</w:t>
      </w:r>
      <w:r>
        <w:t xml:space="preserve">, November 1985, 9.</w:t>
      </w:r>
    </w:p>
    <w:p>
      <w:pPr>
        <w:pStyle w:val="Bibliography"/>
      </w:pPr>
      <w:r>
        <w:t xml:space="preserve">“Residency Rule Called Good, If Done by Book: Bloomfield.”</w:t>
      </w:r>
      <w:r>
        <w:t xml:space="preserve"> </w:t>
      </w:r>
      <w:r>
        <w:rPr>
          <w:i/>
        </w:rPr>
        <w:t xml:space="preserve">Hartford Courant</w:t>
      </w:r>
      <w:r>
        <w:t xml:space="preserve">, July 1976, 44.</w:t>
      </w:r>
    </w:p>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p>
    <w:p>
      <w:pPr>
        <w:pStyle w:val="Bibliography"/>
      </w:pPr>
      <w:r>
        <w:t xml:space="preserve">“Schools Jump Tuition Fees for Out-of-Town Residents.”</w:t>
      </w:r>
      <w:r>
        <w:t xml:space="preserve"> </w:t>
      </w:r>
      <w:r>
        <w:rPr>
          <w:i/>
        </w:rPr>
        <w:t xml:space="preserve">Hartford Courant</w:t>
      </w:r>
      <w:r>
        <w:t xml:space="preserve">, January 1952, 21.</w:t>
      </w:r>
    </w:p>
    <w:p>
      <w:pPr>
        <w:pStyle w:val="Bibliography"/>
      </w:pPr>
      <w:r>
        <w:t xml:space="preserve">Sheff, Elizabeth Horton. “Oral History Interview on Sheff Vs. O’Neill.”</w:t>
      </w:r>
      <w:r>
        <w:t xml:space="preserve"> </w:t>
      </w:r>
      <w:hyperlink r:id="rId294">
        <w:r>
          <w:rPr>
            <w:rStyle w:val="Hyperlink"/>
          </w:rPr>
          <w:t xml:space="preserve">http://digitalrepository.trincoll.edu/cssp_ohistory/16</w:t>
        </w:r>
      </w:hyperlink>
      <w:r>
        <w:t xml:space="preserve">, July 2011.</w:t>
      </w:r>
    </w:p>
    <w:p>
      <w:pPr>
        <w:pStyle w:val="Bibliography"/>
      </w:pPr>
      <w:r>
        <w:t xml:space="preserve">“Shelley V. Kraemer.”</w:t>
      </w:r>
      <w:r>
        <w:t xml:space="preserve"> </w:t>
      </w:r>
      <w:hyperlink r:id="rId192">
        <w:r>
          <w:rPr>
            <w:rStyle w:val="Hyperlink"/>
          </w:rPr>
          <w:t xml:space="preserve">https://scholar.google.com/scholar_case?case=12732018998507979172</w:t>
        </w:r>
      </w:hyperlink>
      <w:r>
        <w:t xml:space="preserve">, May 1948.</w:t>
      </w:r>
    </w:p>
    <w:p>
      <w:pPr>
        <w:pStyle w:val="Bibliography"/>
      </w:pPr>
      <w:r>
        <w:t xml:space="preserve">Simpson, Stan. “Capital Progress: Read All About It.”</w:t>
      </w:r>
      <w:r>
        <w:t xml:space="preserve"> </w:t>
      </w:r>
      <w:r>
        <w:rPr>
          <w:i/>
        </w:rPr>
        <w:t xml:space="preserve">Hartford Courant</w:t>
      </w:r>
      <w:r>
        <w:t xml:space="preserve">, June 2003, B1.</w:t>
      </w:r>
    </w:p>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p>
    <w:p>
      <w:pPr>
        <w:pStyle w:val="Bibliography"/>
      </w:pPr>
      <w:r>
        <w:t xml:space="preserve">“State Law Sought Against Racial Ban in Realty Deals.”</w:t>
      </w:r>
      <w:r>
        <w:t xml:space="preserve"> </w:t>
      </w:r>
      <w:r>
        <w:rPr>
          <w:i/>
        </w:rPr>
        <w:t xml:space="preserve">The Hartford Courant</w:t>
      </w:r>
      <w:r>
        <w:t xml:space="preserve">, April 1947, 8.</w:t>
      </w:r>
    </w:p>
    <w:p>
      <w:pPr>
        <w:pStyle w:val="Bibliography"/>
      </w:pPr>
      <w:r>
        <w:t xml:space="preserve">“The Richest City.”</w:t>
      </w:r>
      <w:r>
        <w:t xml:space="preserve"> </w:t>
      </w:r>
      <w:r>
        <w:rPr>
          <w:i/>
        </w:rPr>
        <w:t xml:space="preserve">The Hartford Courant (1887-1922)</w:t>
      </w:r>
      <w:r>
        <w:t xml:space="preserve">, October 1903, 10.</w:t>
      </w:r>
    </w:p>
    <w:p>
      <w:pPr>
        <w:pStyle w:val="Bibliography"/>
      </w:pPr>
      <w:r>
        <w:t xml:space="preserve">Twain, Mark, and Charles Dudley Warner.</w:t>
      </w:r>
      <w:r>
        <w:t xml:space="preserve"> </w:t>
      </w:r>
      <w:r>
        <w:rPr>
          <w:i/>
        </w:rPr>
        <w:t xml:space="preserve">The Gilded Age: A Tale of to-Day</w:t>
      </w:r>
      <w:r>
        <w:t xml:space="preserve">. Hartford: American Publishing Company, 1873.</w:t>
      </w:r>
    </w:p>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p>
      <w:pPr>
        <w:pStyle w:val="Bibliography"/>
      </w:pPr>
      <w:r>
        <w:t xml:space="preserve">United States Commission on Civil Rights.</w:t>
      </w:r>
      <w:r>
        <w:t xml:space="preserve"> </w:t>
      </w:r>
      <w:r>
        <w:rPr>
          <w:i/>
        </w:rPr>
        <w:t xml:space="preserve">Understanding Fair Housing</w:t>
      </w:r>
      <w:r>
        <w:t xml:space="preserve">. Washington DC: Government Printing Office, 1973.</w:t>
      </w:r>
    </w:p>
    <w:p>
      <w:pPr>
        <w:pStyle w:val="Bibliography"/>
      </w:pPr>
      <w:r>
        <w:t xml:space="preserve">University of Connecticut Libraries Map and Geographic Information Center. “Federal HOLC ‘Redlining’ Map, Hartford Area, 1937.”</w:t>
      </w:r>
      <w:r>
        <w:t xml:space="preserve"> </w:t>
      </w:r>
      <w:hyperlink r:id="rId142">
        <w:r>
          <w:rPr>
            <w:rStyle w:val="Hyperlink"/>
          </w:rPr>
          <w:t xml:space="preserve">http://magic.lib.uconn.edu/otl/doclink_holc.html</w:t>
        </w:r>
      </w:hyperlink>
      <w:r>
        <w:t xml:space="preserve">, 2012.</w:t>
      </w:r>
    </w:p>
    <w:p>
      <w:pPr>
        <w:pStyle w:val="Bibliography"/>
      </w:pPr>
      <w:r>
        <w:t xml:space="preserve">———. “Race Restrictive Covenants in Property Deeds, Hartford Area, 1940s.”</w:t>
      </w:r>
      <w:r>
        <w:t xml:space="preserve"> </w:t>
      </w:r>
      <w:hyperlink r:id="rId204">
        <w:r>
          <w:rPr>
            <w:rStyle w:val="Hyperlink"/>
          </w:rPr>
          <w:t xml:space="preserve">http://magic.lib.uconn.edu/otl/doclink_covenant.html</w:t>
        </w:r>
      </w:hyperlink>
      <w:r>
        <w:t xml:space="preserve">, 2012.</w:t>
      </w:r>
    </w:p>
    <w:p>
      <w:pPr>
        <w:pStyle w:val="Bibliography"/>
      </w:pPr>
      <w:r>
        <w:t xml:space="preserve">Wadsworth Atheneum Museum of Art. “History.”</w:t>
      </w:r>
      <w:r>
        <w:t xml:space="preserve"> </w:t>
      </w:r>
      <w:hyperlink r:id="rId99">
        <w:r>
          <w:rPr>
            <w:rStyle w:val="Hyperlink"/>
          </w:rPr>
          <w:t xml:space="preserve">https://thewadsworth.org/about/history/</w:t>
        </w:r>
      </w:hyperlink>
      <w:r>
        <w:t xml:space="preserve">, n.d.</w:t>
      </w:r>
    </w:p>
    <w:p>
      <w:pPr>
        <w:pStyle w:val="Bibliography"/>
      </w:pPr>
      <w:r>
        <w:t xml:space="preserve">Walsh, Debra. “Oral History Interview on West Hartford.”</w:t>
      </w:r>
      <w:r>
        <w:t xml:space="preserve"> </w:t>
      </w:r>
      <w:hyperlink r:id="rId197">
        <w:r>
          <w:rPr>
            <w:rStyle w:val="Hyperlink"/>
          </w:rPr>
          <w:t xml:space="preserve">http://digitalrepository.trincoll.edu/cssp_ohistory/21</w:t>
        </w:r>
      </w:hyperlink>
      <w:r>
        <w:t xml:space="preserve">, July 2011.</w:t>
      </w:r>
    </w:p>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p>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p>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p>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p>
    <w:p>
      <w:pPr>
        <w:pStyle w:val="Bibliography"/>
      </w:pPr>
      <w:r>
        <w:t xml:space="preserve">Zielbauer, Paul. “Poverty in a Land of Plenty: Can Hartford Ever Recover?”</w:t>
      </w:r>
      <w:r>
        <w:t xml:space="preserve"> </w:t>
      </w:r>
      <w:r>
        <w:rPr>
          <w:i/>
        </w:rPr>
        <w:t xml:space="preserve">The New York Times</w:t>
      </w:r>
      <w:r>
        <w:t xml:space="preserve">, August 2002.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3">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w:t>
      </w:r>
    </w:p>
  </w:footnote>
  <w:footnote w:id="92">
    <w:p>
      <w:pPr>
        <w:pStyle w:val="FootnoteText"/>
      </w:pPr>
      <w:r>
        <w:rPr>
          <w:rStyle w:val="FootnoteReference"/>
        </w:rPr>
        <w:footnoteRef/>
      </w:r>
      <w:r>
        <w:t xml:space="preserve"> </w:t>
      </w:r>
      <w:r>
        <w:t xml:space="preserve">Charles H. Clark, “The Charter Oak City,”</w:t>
      </w:r>
      <w:r>
        <w:t xml:space="preserve"> </w:t>
      </w:r>
      <w:r>
        <w:rPr>
          <w:i/>
        </w:rPr>
        <w:t xml:space="preserve">Scribner’s Monthly</w:t>
      </w:r>
      <w:r>
        <w:t xml:space="preserve"> </w:t>
      </w:r>
      <w:r>
        <w:t xml:space="preserve">13, no. 1 (November 1876): 1–21.</w:t>
      </w:r>
    </w:p>
  </w:footnote>
  <w:footnote w:id="95">
    <w:p>
      <w:pPr>
        <w:pStyle w:val="FootnoteText"/>
      </w:pPr>
      <w:r>
        <w:rPr>
          <w:rStyle w:val="FootnoteReference"/>
        </w:rPr>
        <w:footnoteRef/>
      </w:r>
      <w:r>
        <w:t xml:space="preserve"> </w:t>
      </w:r>
      <w:r>
        <w:t xml:space="preserve">Clark,</w:t>
      </w:r>
      <w:r>
        <w:t xml:space="preserve"> </w:t>
      </w:r>
    </w:p>
  </w:footnote>
  <w:footnote w:id="96">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w:t>
      </w:r>
    </w:p>
  </w:footnote>
  <w:footnote w:id="97">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w:t>
      </w:r>
    </w:p>
  </w:footnote>
  <w:footnote w:id="98">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w:t>
      </w:r>
      <w:r>
        <w:t xml:space="preserve"> </w:t>
      </w:r>
      <w:r>
        <w:t xml:space="preserve">“A Suggestive Contrast,”</w:t>
      </w:r>
      <w:r>
        <w:t xml:space="preserve"> </w:t>
      </w:r>
      <w:r>
        <w:rPr>
          <w:i/>
        </w:rPr>
        <w:t xml:space="preserve">Hartford Daily Courant</w:t>
      </w:r>
      <w:r>
        <w:t xml:space="preserve">, October 1878, 2</w:t>
      </w:r>
      <w:r>
        <w:t xml:space="preserve">;</w:t>
      </w:r>
      <w:r>
        <w:t xml:space="preserve"> </w:t>
      </w:r>
      <w:r>
        <w:t xml:space="preserve">Wadsworth Atheneum Museum of Art, “History” (</w:t>
      </w:r>
      <w:hyperlink r:id="rId99">
        <w:r>
          <w:rPr>
            <w:rStyle w:val="Hyperlink"/>
          </w:rPr>
          <w:t xml:space="preserve">https://thewadsworth.org/about/history/</w:t>
        </w:r>
      </w:hyperlink>
      <w:r>
        <w:t xml:space="preserve">, n.d.)</w:t>
      </w:r>
      <w:r>
        <w:t xml:space="preserve">.</w:t>
      </w:r>
    </w:p>
  </w:footnote>
  <w:footnote w:id="10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w:t>
      </w:r>
    </w:p>
  </w:footnote>
  <w:footnote w:id="101">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2">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w:t>
      </w:r>
      <w:r>
        <w:t xml:space="preserve"> </w:t>
      </w:r>
      <w:r>
        <w:t xml:space="preserve">“Editorial: In Defense of Hartford,”</w:t>
      </w:r>
      <w:r>
        <w:t xml:space="preserve"> </w:t>
      </w:r>
      <w:r>
        <w:rPr>
          <w:i/>
        </w:rPr>
        <w:t xml:space="preserve">Hartford Courant</w:t>
      </w:r>
      <w:r>
        <w:t xml:space="preserve">, August 2002, A10</w:t>
      </w:r>
      <w:r>
        <w:t xml:space="preserve">.</w:t>
      </w:r>
    </w:p>
  </w:footnote>
  <w:footnote w:id="103">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4">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08">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w:t>
      </w:r>
      <w:r>
        <w:t xml:space="preserve">(</w:t>
      </w:r>
      <w:hyperlink r:id="rId107">
        <w:r>
          <w:rPr>
            <w:rStyle w:val="Hyperlink"/>
          </w:rPr>
          <w:t xml:space="preserve">https://github.com/OnTheLine/otl-home-value</w:t>
        </w:r>
      </w:hyperlink>
      <w:r>
        <w:t xml:space="preserve">, 2017)</w:t>
      </w:r>
    </w:p>
  </w:footnote>
  <w:footnote w:id="115">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w:t>
      </w:r>
      <w:r>
        <w:t xml:space="preserve">(</w:t>
      </w:r>
      <w:hyperlink r:id="rId116">
        <w:r>
          <w:rPr>
            <w:rStyle w:val="Hyperlink"/>
          </w:rPr>
          <w:t xml:space="preserve">https://github.com/OnTheLine/otl-town-borders</w:t>
        </w:r>
      </w:hyperlink>
      <w:r>
        <w:t xml:space="preserve">, 2017)</w:t>
      </w:r>
    </w:p>
  </w:footnote>
  <w:footnote w:id="122">
    <w:p>
      <w:pPr>
        <w:pStyle w:val="FootnoteText"/>
      </w:pPr>
      <w:r>
        <w:rPr>
          <w:rStyle w:val="FootnoteReference"/>
        </w:rPr>
        <w:footnoteRef/>
      </w:r>
      <w:r>
        <w:t xml:space="preserve"> </w:t>
      </w:r>
      <w:r>
        <w:t xml:space="preserve">TODO: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23">
    <w:p>
      <w:pPr>
        <w:pStyle w:val="FootnoteText"/>
      </w:pPr>
      <w:r>
        <w:rPr>
          <w:rStyle w:val="FootnoteReference"/>
        </w:rPr>
        <w:footnoteRef/>
      </w:r>
      <w:r>
        <w:t xml:space="preserve"> </w:t>
      </w:r>
      <w:r>
        <w:t xml:space="preserve">TODO: Check sources; history of amortization in Snowden and Rose paper,</w:t>
      </w:r>
      <w:r>
        <w:t xml:space="preserve"> </w:t>
      </w:r>
      <w:hyperlink r:id="rId124">
        <w:r>
          <w:rPr>
            <w:rStyle w:val="Hyperlink"/>
          </w:rPr>
          <w:t xml:space="preserve">http://realestateresearch.frbatlanta.org/rer/2012/04/debunking-popular-myth-about-mortgage-lending.html</w:t>
        </w:r>
      </w:hyperlink>
      <w:r>
        <w:t xml:space="preserve">; compare with typical HUD history</w:t>
      </w:r>
      <w:r>
        <w:t xml:space="preserve"> </w:t>
      </w:r>
      <w:hyperlink r:id="rId125">
        <w:r>
          <w:rPr>
            <w:rStyle w:val="Hyperlink"/>
          </w:rPr>
          <w:t xml:space="preserve">http://homeguides.sfgate.com/amortization-mortgage-2809.html</w:t>
        </w:r>
      </w:hyperlink>
      <w:r>
        <w:t xml:space="preserve"> </w:t>
      </w:r>
      <w:r>
        <w:t xml:space="preserve">and</w:t>
      </w:r>
      <w:r>
        <w:t xml:space="preserve"> </w:t>
      </w:r>
      <w:hyperlink r:id="rId126">
        <w:r>
          <w:rPr>
            <w:rStyle w:val="Hyperlink"/>
          </w:rPr>
          <w:t xml:space="preserve">http://answers.google.com/answers/threadview/id/533059.html</w:t>
        </w:r>
      </w:hyperlink>
      <w:r>
        <w:t xml:space="preserve"> </w:t>
      </w:r>
      <w:r>
        <w:t xml:space="preserve">and</w:t>
      </w:r>
      <w:r>
        <w:t xml:space="preserve"> </w:t>
      </w:r>
      <w:hyperlink r:id="rId127">
        <w:r>
          <w:rPr>
            <w:rStyle w:val="Hyperlink"/>
          </w:rPr>
          <w:t xml:space="preserve">http://archives.huduser.org/about/hud_timeline/tl/hudtimeline_1930.html</w:t>
        </w:r>
      </w:hyperlink>
    </w:p>
  </w:footnote>
  <w:footnote w:id="128">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29">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w:t>
      </w:r>
      <w:r>
        <w:t xml:space="preserve">(</w:t>
      </w:r>
      <w:hyperlink r:id="rId130">
        <w:r>
          <w:rPr>
            <w:rStyle w:val="Hyperlink"/>
          </w:rPr>
          <w:t xml:space="preserve">https://dsl.richmond.edu/panorama/redlining/</w:t>
        </w:r>
      </w:hyperlink>
      <w:r>
        <w:t xml:space="preserve">, 2016).</w:t>
      </w:r>
    </w:p>
  </w:footnote>
  <w:footnote w:id="131">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w:t>
      </w:r>
      <w:r>
        <w:t xml:space="preserve">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34">
    <w:p>
      <w:pPr>
        <w:pStyle w:val="FootnoteText"/>
      </w:pPr>
      <w:r>
        <w:rPr>
          <w:rStyle w:val="FootnoteReference"/>
        </w:rPr>
        <w:footnoteRef/>
      </w:r>
      <w:r>
        <w:t xml:space="preserve"> </w:t>
      </w:r>
      <w:r>
        <w:t xml:space="preserve">Home Owners’ Loan Corporation, “Residential Security Map and Area Descriptions, Hartford-West Hartford-East Hartford, Connecticut” (</w:t>
      </w:r>
      <w:hyperlink r:id="rId135">
        <w:r>
          <w:rPr>
            <w:rStyle w:val="Hyperlink"/>
          </w:rPr>
          <w:t xml:space="preserve">http://digitalrepository.trincoll.edu/cssp_archives/14/</w:t>
        </w:r>
      </w:hyperlink>
      <w:r>
        <w:t xml:space="preserve">, 1937)</w:t>
      </w:r>
      <w:r>
        <w:t xml:space="preserve">, uploaded to</w:t>
      </w:r>
      <w:r>
        <w:t xml:space="preserve"> </w:t>
      </w:r>
      <w:r>
        <w:t xml:space="preserve">Home Owners’ Loan Corporation, “Residential Security ’Redlining’ Map, West Hartford-Hartford, CT” (</w:t>
      </w:r>
      <w:hyperlink r:id="rId133">
        <w:r>
          <w:rPr>
            <w:rStyle w:val="Hyperlink"/>
          </w:rPr>
          <w:t xml:space="preserve">http://mapwarper.net/maps/15096</w:t>
        </w:r>
      </w:hyperlink>
      <w:r>
        <w:t xml:space="preserve">, 1937)</w:t>
      </w:r>
      <w:r>
        <w:t xml:space="preserve"> </w:t>
      </w:r>
      <w:r>
        <w:t xml:space="preserve">and</w:t>
      </w:r>
      <w:r>
        <w:t xml:space="preserve"> </w:t>
      </w:r>
      <w:r>
        <w:t xml:space="preserve">Home Owners’ Loan Corporation, “Residential Security ’Redlining’ Map, East Hartford CT” (</w:t>
      </w:r>
      <w:hyperlink r:id="rId136">
        <w:r>
          <w:rPr>
            <w:rStyle w:val="Hyperlink"/>
          </w:rPr>
          <w:t xml:space="preserve">http://mapwarper.net/maps/15097</w:t>
        </w:r>
      </w:hyperlink>
      <w:r>
        <w:t xml:space="preserve">, 1937)</w:t>
      </w:r>
    </w:p>
  </w:footnote>
  <w:footnote w:id="137">
    <w:p>
      <w:pPr>
        <w:pStyle w:val="FootnoteText"/>
      </w:pPr>
      <w:r>
        <w:rPr>
          <w:rStyle w:val="FootnoteReference"/>
        </w:rPr>
        <w:footnoteRef/>
      </w:r>
      <w:r>
        <w:t xml:space="preserve"> </w:t>
      </w:r>
      <w:r>
        <w:t xml:space="preserve">TODO: quotes from 1937 report, p. 1; pp. 3-4</w:t>
      </w:r>
    </w:p>
  </w:footnote>
  <w:footnote w:id="141">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w:t>
      </w:r>
      <w:r>
        <w:t xml:space="preserve">(</w:t>
      </w:r>
      <w:hyperlink r:id="rId140">
        <w:r>
          <w:rPr>
            <w:rStyle w:val="Hyperlink"/>
          </w:rPr>
          <w:t xml:space="preserve">https://github.com/OnTheLine/otl-redlining</w:t>
        </w:r>
      </w:hyperlink>
      <w:r>
        <w:t xml:space="preserve">, 2017)</w:t>
      </w:r>
      <w:r>
        <w:t xml:space="preserve">;</w:t>
      </w:r>
      <w:r>
        <w:t xml:space="preserve"> </w:t>
      </w:r>
      <w:r>
        <w:t xml:space="preserve">University of Connecticut Libraries Map and Geographic Information Center, “Federal HOLC ‘Redlining’ Map, Hartford Area, 1937” (</w:t>
      </w:r>
      <w:hyperlink r:id="rId142">
        <w:r>
          <w:rPr>
            <w:rStyle w:val="Hyperlink"/>
          </w:rPr>
          <w:t xml:space="preserve">http://magic.lib.uconn.edu/otl/doclink_holc.html</w:t>
        </w:r>
      </w:hyperlink>
      <w:r>
        <w:t xml:space="preserve">, 2012)</w:t>
      </w:r>
    </w:p>
  </w:footnote>
  <w:footnote w:id="143">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44">
    <w:p>
      <w:pPr>
        <w:pStyle w:val="FootnoteText"/>
      </w:pPr>
      <w:r>
        <w:rPr>
          <w:rStyle w:val="FootnoteReference"/>
        </w:rPr>
        <w:footnoteRef/>
      </w:r>
      <w:r>
        <w:t xml:space="preserve"> </w:t>
      </w:r>
      <w:r>
        <w:t xml:space="preserve">TO DO: social status quote from 1937 page 1; see forms on pages A1-D3</w:t>
      </w:r>
    </w:p>
  </w:footnote>
  <w:footnote w:id="147">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5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p>
  </w:footnote>
  <w:footnote w:id="152">
    <w:p>
      <w:pPr>
        <w:pStyle w:val="FootnoteText"/>
      </w:pPr>
      <w:r>
        <w:rPr>
          <w:rStyle w:val="FootnoteReference"/>
        </w:rPr>
        <w:footnoteRef/>
      </w:r>
      <w:r>
        <w:t xml:space="preserve"> </w:t>
      </w:r>
      <w:r>
        <w:t xml:space="preserve">Administration,</w:t>
      </w:r>
      <w:r>
        <w:t xml:space="preserve"> </w:t>
      </w:r>
      <w:r>
        <w:t xml:space="preserve">, part II, sections 233, 229, 289, 284, 227-28.</w:t>
      </w:r>
    </w:p>
  </w:footnote>
  <w:footnote w:id="155">
    <w:p>
      <w:pPr>
        <w:pStyle w:val="FootnoteText"/>
      </w:pPr>
      <w:r>
        <w:rPr>
          <w:rStyle w:val="FootnoteReference"/>
        </w:rPr>
        <w:footnoteRef/>
      </w:r>
      <w:r>
        <w:t xml:space="preserve"> </w:t>
      </w:r>
      <w:r>
        <w:t xml:space="preserve">Administration,</w:t>
      </w:r>
      <w:r>
        <w:t xml:space="preserve"> </w:t>
      </w:r>
      <w:r>
        <w:t xml:space="preserve">, part II, sections 226-289.</w:t>
      </w:r>
    </w:p>
  </w:footnote>
  <w:footnote w:id="156">
    <w:p>
      <w:pPr>
        <w:pStyle w:val="FootnoteText"/>
      </w:pPr>
      <w:r>
        <w:rPr>
          <w:rStyle w:val="FootnoteReference"/>
        </w:rPr>
        <w:footnoteRef/>
      </w:r>
      <w:r>
        <w:t xml:space="preserve"> </w:t>
      </w:r>
      <w:r>
        <w:t xml:space="preserve">TO DO: expand from Rothstein book</w:t>
      </w:r>
    </w:p>
  </w:footnote>
  <w:footnote w:id="159">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section 1849-50.</w:t>
      </w:r>
    </w:p>
  </w:footnote>
  <w:footnote w:id="160">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w:r>
      <w:r>
        <w:t xml:space="preserve">; decide about adding Google Books Ngram,</w:t>
      </w:r>
      <w:r>
        <w:t xml:space="preserve"> </w:t>
      </w:r>
      <w:hyperlink r:id="rId161">
        <w:r>
          <w:rPr>
            <w:rStyle w:val="Hyperlink"/>
          </w:rPr>
          <w:t xml:space="preserve">https://books.google.com/ngrams/graph?content=redlining&amp;year_start=1940&amp;year_end=2000</w:t>
        </w:r>
      </w:hyperlink>
    </w:p>
  </w:footnote>
  <w:footnote w:id="163">
    <w:p>
      <w:pPr>
        <w:pStyle w:val="FootnoteText"/>
      </w:pPr>
      <w:r>
        <w:rPr>
          <w:rStyle w:val="FootnoteReference"/>
        </w:rPr>
        <w:footnoteRef/>
      </w:r>
      <w:r>
        <w:t xml:space="preserve"> </w:t>
      </w:r>
      <w:r>
        <w:t xml:space="preserve">Ilyankou and Dougherty, “Leaflet Map of HOLC ‘Redlining’ Security Map for Hartford CT Area, 1937.”</w:t>
      </w:r>
    </w:p>
  </w:footnote>
  <w:footnote w:id="164">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p>
  </w:footnote>
  <w:footnote w:id="165">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66">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67">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w:t>
      </w:r>
      <w:r>
        <w:t xml:space="preserve">(</w:t>
      </w:r>
      <w:hyperlink r:id="rId168">
        <w:r>
          <w:rPr>
            <w:rStyle w:val="Hyperlink"/>
          </w:rPr>
          <w:t xml:space="preserve">http://connecticuthistory.org/the-effects-of-redlining-on-the-hartford-metropolitan-region/</w:t>
        </w:r>
      </w:hyperlink>
      <w:r>
        <w:t xml:space="preserve">, March 2014).</w:t>
      </w:r>
    </w:p>
  </w:footnote>
  <w:footnote w:id="169">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71">
    <w:p>
      <w:pPr>
        <w:pStyle w:val="FootnoteText"/>
      </w:pPr>
      <w:r>
        <w:rPr>
          <w:rStyle w:val="FootnoteReference"/>
        </w:rPr>
        <w:footnoteRef/>
      </w:r>
      <w:r>
        <w:t xml:space="preserve"> </w:t>
      </w:r>
      <w:r>
        <w:t xml:space="preserve">High Ledge Homes Inc., “Agreement Concerning Building Restrictions: High Ledge Homes Development” (</w:t>
      </w:r>
      <w:hyperlink r:id="rId172">
        <w:r>
          <w:rPr>
            <w:rStyle w:val="Hyperlink"/>
          </w:rPr>
          <w:t xml:space="preserve">https://github.com/jackdougherty/otl-covenants</w:t>
        </w:r>
      </w:hyperlink>
      <w:r>
        <w:t xml:space="preserve">, June 1940).</w:t>
      </w:r>
    </w:p>
  </w:footnote>
  <w:footnote w:id="176">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w:t>
      </w:r>
      <w:r>
        <w:t xml:space="preserve">(</w:t>
      </w:r>
      <w:hyperlink r:id="rId175">
        <w:r>
          <w:rPr>
            <w:rStyle w:val="Hyperlink"/>
          </w:rPr>
          <w:t xml:space="preserve">https://github.com/OnTheLine/otl-covenants</w:t>
        </w:r>
      </w:hyperlink>
      <w:r>
        <w:t xml:space="preserve">, 2017)</w:t>
      </w:r>
      <w:r>
        <w:t xml:space="preserve">; universityofconnecticutlibrariesmapandgeographicinformationcenterRaceRestrictiveCovenants2012</w:t>
      </w:r>
    </w:p>
  </w:footnote>
  <w:footnote w:id="178">
    <w:p>
      <w:pPr>
        <w:pStyle w:val="FootnoteText"/>
      </w:pPr>
      <w:r>
        <w:rPr>
          <w:rStyle w:val="FootnoteReference"/>
        </w:rPr>
        <w:footnoteRef/>
      </w:r>
      <w:r>
        <w:t xml:space="preserve"> </w:t>
      </w:r>
      <w:r>
        <w:t xml:space="preserve">“Corrigan V. Buckley” (</w:t>
      </w:r>
      <w:hyperlink r:id="rId179">
        <w:r>
          <w:rPr>
            <w:rStyle w:val="Hyperlink"/>
          </w:rPr>
          <w:t xml:space="preserve">https://scholar.google.com/scholar_case?case=11135903580197116691</w:t>
        </w:r>
      </w:hyperlink>
      <w:r>
        <w:t xml:space="preserve">, May 1926)</w:t>
      </w:r>
      <w:r>
        <w:t xml:space="preserve">;</w:t>
      </w:r>
      <w:r>
        <w:t xml:space="preserve"> </w:t>
      </w:r>
      <w:r>
        <w:t xml:space="preserve">Prologue DC, “Mapping Segregation in Washington DC” (</w:t>
      </w:r>
      <w:hyperlink r:id="rId180">
        <w:r>
          <w:rPr>
            <w:rStyle w:val="Hyperlink"/>
          </w:rPr>
          <w:t xml:space="preserve">http://prologuedc.com/blog/mapping-segregation</w:t>
        </w:r>
      </w:hyperlink>
      <w:r>
        <w:t xml:space="preserve">, 2015)</w:t>
      </w:r>
    </w:p>
  </w:footnote>
  <w:footnote w:id="181">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See race restrictive covenants in West Hartford property deeds in</w:t>
      </w:r>
      <w:r>
        <w:t xml:space="preserve"> </w:t>
      </w:r>
      <w:r>
        <w:t xml:space="preserve">Ilyankou and Dougherty, “Map,” 2017</w:t>
      </w:r>
      <w:r>
        <w:t xml:space="preserve">.</w:t>
      </w:r>
    </w:p>
  </w:footnote>
  <w:footnote w:id="182">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p>
  </w:footnote>
  <w:footnote w:id="184">
    <w:p>
      <w:pPr>
        <w:pStyle w:val="FootnoteText"/>
      </w:pPr>
      <w:r>
        <w:rPr>
          <w:rStyle w:val="FootnoteReference"/>
        </w:rPr>
        <w:footnoteRef/>
      </w:r>
      <w:r>
        <w:t xml:space="preserve"> </w:t>
      </w:r>
      <w:r>
        <w:t xml:space="preserve">“Ad.”</w:t>
      </w:r>
    </w:p>
  </w:footnote>
  <w:footnote w:id="185">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p. 79;</w:t>
      </w:r>
      <w:r>
        <w:t xml:space="preserve"> </w:t>
      </w:r>
      <w:r>
        <w:t xml:space="preserve">DC, “Mapping Segregation in Washington DC.”</w:t>
      </w:r>
    </w:p>
  </w:footnote>
  <w:footnote w:id="186">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w:t>
      </w:r>
      <w:r>
        <w:t xml:space="preserve">(</w:t>
      </w:r>
      <w:hyperlink r:id="rId187">
        <w:r>
          <w:rPr>
            <w:rStyle w:val="Hyperlink"/>
          </w:rPr>
          <w:t xml:space="preserve">http://www.theatlantic.com/galleries/reparations/1/</w:t>
        </w:r>
      </w:hyperlink>
      <w:r>
        <w:t xml:space="preserve">, June 2014)</w:t>
      </w:r>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p. 3;</w:t>
      </w:r>
      <w:r>
        <w:t xml:space="preserve"> </w:t>
      </w:r>
      <w:r>
        <w:t xml:space="preserve">James Gregory, “Segregated Seattle,”</w:t>
      </w:r>
      <w:r>
        <w:t xml:space="preserve"> </w:t>
      </w:r>
      <w:r>
        <w:rPr>
          <w:i/>
        </w:rPr>
        <w:t xml:space="preserve">Seattle Civil Rights &amp; Labor History Project</w:t>
      </w:r>
      <w:r>
        <w:t xml:space="preserve"> </w:t>
      </w:r>
      <w:r>
        <w:t xml:space="preserve">(</w:t>
      </w:r>
      <w:hyperlink r:id="rId188">
        <w:r>
          <w:rPr>
            <w:rStyle w:val="Hyperlink"/>
          </w:rPr>
          <w:t xml:space="preserve">https://depts.washington.edu/civilr/segregated.htm</w:t>
        </w:r>
      </w:hyperlink>
      <w:r>
        <w:t xml:space="preserve">, 2010)</w:t>
      </w:r>
      <w:r>
        <w:t xml:space="preserve">;</w:t>
      </w:r>
      <w:r>
        <w:t xml:space="preserve"> </w:t>
      </w:r>
      <w:r>
        <w:t xml:space="preserve">Rothstein,</w:t>
      </w:r>
      <w:r>
        <w:t xml:space="preserve"> </w:t>
      </w:r>
      <w:r>
        <w:rPr>
          <w:i/>
        </w:rPr>
        <w:t xml:space="preserve">The Color of Law</w:t>
      </w:r>
      <w:r>
        <w:t xml:space="preserve"/>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p. 31.</w:t>
      </w:r>
    </w:p>
  </w:footnote>
  <w:footnote w:id="189">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w:t>
      </w:r>
      <w:hyperlink r:id="rId190">
        <w:r>
          <w:rPr>
            <w:rStyle w:val="Hyperlink"/>
          </w:rPr>
          <w:t xml:space="preserve">http://digitalrepository.trincoll.edu/cssp_ohistory/19</w:t>
        </w:r>
      </w:hyperlink>
      <w:r>
        <w:t xml:space="preserve">, August 2011)</w:t>
      </w:r>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w:t>
      </w:r>
    </w:p>
  </w:footnote>
  <w:footnote w:id="191">
    <w:p>
      <w:pPr>
        <w:pStyle w:val="FootnoteText"/>
      </w:pPr>
      <w:r>
        <w:rPr>
          <w:rStyle w:val="FootnoteReference"/>
        </w:rPr>
        <w:footnoteRef/>
      </w:r>
      <w:r>
        <w:t xml:space="preserve"> </w:t>
      </w:r>
      <w:r>
        <w:t xml:space="preserve">“Shelley V. Kraemer” (</w:t>
      </w:r>
      <w:hyperlink r:id="rId192">
        <w:r>
          <w:rPr>
            <w:rStyle w:val="Hyperlink"/>
          </w:rPr>
          <w:t xml:space="preserve">https://scholar.google.com/scholar_case?case=12732018998507979172</w:t>
        </w:r>
      </w:hyperlink>
      <w:r>
        <w:t xml:space="preserve">, May 1948); Rothstein,</w:t>
      </w:r>
      <w:r>
        <w:t xml:space="preserve"> </w:t>
      </w:r>
      <w:r>
        <w:rPr>
          <w:i/>
        </w:rPr>
        <w:t xml:space="preserve">The Color of Law</w:t>
      </w:r>
      <w:r>
        <w:t xml:space="preserve">, 85–91; “Mayers V. Ridley” (</w:t>
      </w:r>
      <w:hyperlink r:id="rId193">
        <w:r>
          <w:rPr>
            <w:rStyle w:val="Hyperlink"/>
          </w:rPr>
          <w:t xml:space="preserve">https://scholar.google.com/scholar_case?case=15478926121065691421</w:t>
        </w:r>
      </w:hyperlink>
      <w:r>
        <w:t xml:space="preserve">, March 1972).</w:t>
      </w:r>
    </w:p>
  </w:footnote>
  <w:footnote w:id="194">
    <w:p>
      <w:pPr>
        <w:pStyle w:val="FootnoteText"/>
      </w:pPr>
      <w:r>
        <w:rPr>
          <w:rStyle w:val="FootnoteReference"/>
        </w:rPr>
        <w:footnoteRef/>
      </w:r>
      <w:r>
        <w:t xml:space="preserve"> </w:t>
      </w:r>
      <w:r>
        <w:t xml:space="preserve">Mary Everett, “Oral History Interview on West Hartford” (</w:t>
      </w:r>
      <w:hyperlink r:id="rId195">
        <w:r>
          <w:rPr>
            <w:rStyle w:val="Hyperlink"/>
          </w:rPr>
          <w:t xml:space="preserve">http://digitalrepository.trincoll.edu/cssp_ohistory/23</w:t>
        </w:r>
      </w:hyperlink>
      <w:r>
        <w:t xml:space="preserve">, July 2011);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p>
  </w:footnote>
  <w:footnote w:id="198">
    <w:p>
      <w:pPr>
        <w:pStyle w:val="FootnoteText"/>
      </w:pPr>
      <w:r>
        <w:rPr>
          <w:rStyle w:val="FootnoteReference"/>
        </w:rPr>
        <w:footnoteRef/>
      </w:r>
      <w:r>
        <w:t xml:space="preserve"> </w:t>
      </w:r>
      <w:r>
        <w:t xml:space="preserve">Debra Walsh, “Oral History Interview on West Hartford” (</w:t>
      </w:r>
      <w:hyperlink r:id="rId197">
        <w:r>
          <w:rPr>
            <w:rStyle w:val="Hyperlink"/>
          </w:rPr>
          <w:t xml:space="preserve">http://digitalrepository.trincoll.edu/cssp_ohistory/21</w:t>
        </w:r>
      </w:hyperlink>
      <w:r>
        <w:t xml:space="preserve">, July 2011)</w:t>
      </w:r>
    </w:p>
  </w:footnote>
  <w:footnote w:id="201">
    <w:p>
      <w:pPr>
        <w:pStyle w:val="FootnoteText"/>
      </w:pPr>
      <w:r>
        <w:rPr>
          <w:rStyle w:val="FootnoteReference"/>
        </w:rPr>
        <w:footnoteRef/>
      </w:r>
      <w:r>
        <w:t xml:space="preserve"> </w:t>
      </w:r>
      <w:r>
        <w:t xml:space="preserve">Susan Hansen, “Oral History Interview on West Hartford” (</w:t>
      </w:r>
      <w:hyperlink r:id="rId200">
        <w:r>
          <w:rPr>
            <w:rStyle w:val="Hyperlink"/>
          </w:rPr>
          <w:t xml:space="preserve">http://digitalrepository.trincoll.edu/cssp_ohistory/17</w:t>
        </w:r>
      </w:hyperlink>
      <w:r>
        <w:t xml:space="preserve">, July 2011)</w:t>
      </w:r>
    </w:p>
  </w:footnote>
  <w:footnote w:id="202">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w:t>
      </w:r>
      <w:r>
        <w:t xml:space="preserve"> </w:t>
      </w:r>
      <w:r>
        <w:t xml:space="preserve">Wilson, “High Ledge Homes and Restrictive Covenants.”</w:t>
      </w:r>
    </w:p>
  </w:footnote>
  <w:footnote w:id="203">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w:t>
      </w:r>
      <w:hyperlink r:id="rId204">
        <w:r>
          <w:rPr>
            <w:rStyle w:val="Hyperlink"/>
          </w:rPr>
          <w:t xml:space="preserve">http://magic.lib.uconn.edu/otl/doclink_covenant.html</w:t>
        </w:r>
      </w:hyperlink>
      <w:r>
        <w:t xml:space="preserve">, 2012)</w:t>
      </w:r>
    </w:p>
  </w:footnote>
  <w:footnote w:id="206">
    <w:p>
      <w:pPr>
        <w:pStyle w:val="FootnoteText"/>
      </w:pPr>
      <w:r>
        <w:rPr>
          <w:rStyle w:val="FootnoteReference"/>
        </w:rPr>
        <w:footnoteRef/>
      </w:r>
      <w:r>
        <w:t xml:space="preserve"> </w:t>
      </w:r>
      <w:r>
        <w:t xml:space="preserve">TODO: check original source, cited in</w:t>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p. 8;</w:t>
      </w:r>
      <w:r>
        <w:t xml:space="preserve"> </w:t>
      </w:r>
      <w:r>
        <w:t xml:space="preserve">“Plans to Apportion Population of Cities: Legislative Committee to Recommend Bill Today Giving Wide Powers for Aesthetic and Welfare Effect in Seven Municipalities,”</w:t>
      </w:r>
      <w:r>
        <w:t xml:space="preserve"> </w:t>
      </w:r>
      <w:r>
        <w:rPr>
          <w:i/>
        </w:rPr>
        <w:t xml:space="preserve">Hartford Courant</w:t>
      </w:r>
      <w:r>
        <w:t xml:space="preserve">, May 1923, 1</w:t>
      </w:r>
    </w:p>
  </w:footnote>
  <w:footnote w:id="207">
    <w:p>
      <w:pPr>
        <w:pStyle w:val="FootnoteText"/>
      </w:pPr>
      <w:r>
        <w:rPr>
          <w:rStyle w:val="FootnoteReference"/>
        </w:rPr>
        <w:footnoteRef/>
      </w:r>
      <w:r>
        <w:t xml:space="preserve"> </w:t>
      </w:r>
      <w:r>
        <w:t xml:space="preserve">Whitten,</w:t>
      </w:r>
      <w:r>
        <w:t xml:space="preserve"> </w:t>
      </w:r>
      <w:r>
        <w:rPr>
          <w:i/>
        </w:rPr>
        <w:t xml:space="preserve">West Hartford Zoning</w:t>
      </w:r>
      <w:r>
        <w:t xml:space="preserve"/>
      </w:r>
      <w:r>
        <w:t xml:space="preserve">, preface</w:t>
      </w:r>
    </w:p>
  </w:footnote>
  <w:footnote w:id="208">
    <w:p>
      <w:pPr>
        <w:pStyle w:val="FootnoteText"/>
      </w:pPr>
      <w:r>
        <w:rPr>
          <w:rStyle w:val="FootnoteReference"/>
        </w:rPr>
        <w:footnoteRef/>
      </w:r>
      <w:r>
        <w:t xml:space="preserve"> </w:t>
      </w:r>
      <w:r>
        <w:t xml:space="preserve">Whitten,</w:t>
      </w:r>
      <w:r>
        <w:t xml:space="preserve"> </w:t>
      </w:r>
      <w:r>
        <w:t xml:space="preserve">, p. 10.</w:t>
      </w:r>
    </w:p>
  </w:footnote>
  <w:footnote w:id="213">
    <w:p>
      <w:pPr>
        <w:pStyle w:val="FootnoteText"/>
      </w:pPr>
      <w:r>
        <w:rPr>
          <w:rStyle w:val="FootnoteReference"/>
        </w:rPr>
        <w:footnoteRef/>
      </w:r>
      <w:r>
        <w:t xml:space="preserve"> </w:t>
      </w:r>
      <w:r>
        <w:t xml:space="preserve">Suburban Action Institute,</w:t>
      </w:r>
      <w:r>
        <w:t xml:space="preserve"> </w:t>
      </w:r>
      <w:r>
        <w:rPr>
          <w:i/>
        </w:rPr>
        <w:t xml:space="preserve">A Study of Zoning in Connecticut: A Preliminary Report Prepared Under Contract with the Connecticut Commission on Human Rights &amp; Opportunities</w:t>
      </w:r>
      <w:r>
        <w:t xml:space="preserve"> </w:t>
      </w:r>
      <w:r>
        <w:t xml:space="preserve">(New York: The Institute, 1978); Jason Reece et al.,</w:t>
      </w:r>
      <w:r>
        <w:t xml:space="preserve"> </w:t>
      </w:r>
      <w:r>
        <w:rPr>
          <w:i/>
        </w:rPr>
        <w:t xml:space="preserve">People, Place, and Opportunity: Mapping Communities of Opportunity in Connecticut: A Report Commissioned by the Connecticut Fair Housing Center</w:t>
      </w:r>
      <w:r>
        <w:t xml:space="preserve"> </w:t>
      </w:r>
      <w:r>
        <w:t xml:space="preserve">(Kirwan Institute for the Study of Race and Ethnicity, The Ohio State University, 2009).</w:t>
      </w:r>
    </w:p>
  </w:footnote>
  <w:footnote w:id="214">
    <w:p>
      <w:pPr>
        <w:pStyle w:val="FootnoteText"/>
      </w:pPr>
      <w:r>
        <w:rPr>
          <w:rStyle w:val="FootnoteReference"/>
        </w:rPr>
        <w:footnoteRef/>
      </w:r>
      <w:r>
        <w:t xml:space="preserve"> </w:t>
      </w:r>
      <w:r>
        <w:t xml:space="preserve">Connecticut Fair Housing Center and Cities Suburbs and Schools Project at Trinity College, “Connecticut Zoning Initiative” (</w:t>
      </w:r>
      <w:hyperlink r:id="rId215">
        <w:r>
          <w:rPr>
            <w:rStyle w:val="Hyperlink"/>
          </w:rPr>
          <w:t xml:space="preserve">http://commons.trincoll.edu/cssp/zoning/</w:t>
        </w:r>
      </w:hyperlink>
      <w:r>
        <w:t xml:space="preserve">, 2013); Connecticut Fair Housing Center, “A Guide to Zoning for Fair and Open Communities” (Hartford CT, June 2013); Connecticut Fair Housing Center,</w:t>
      </w:r>
      <w:r>
        <w:t xml:space="preserve"> </w:t>
      </w:r>
      <w:r>
        <w:rPr>
          <w:i/>
        </w:rPr>
        <w:t xml:space="preserve">Analysis of Impediments to Fair Housing Choice 2015</w:t>
      </w:r>
      <w:r>
        <w:t xml:space="preserve"> </w:t>
      </w:r>
      <w:r>
        <w:t xml:space="preserve">(Hartford: Connecticut Department of Housing, 2015).</w:t>
      </w:r>
    </w:p>
  </w:footnote>
  <w:footnote w:id="225">
    <w:p>
      <w:pPr>
        <w:pStyle w:val="FootnoteText"/>
      </w:pPr>
      <w:r>
        <w:rPr>
          <w:rStyle w:val="FootnoteReference"/>
        </w:rPr>
        <w:footnoteRef/>
      </w:r>
      <w:r>
        <w:t xml:space="preserve"> </w:t>
      </w:r>
      <w:r>
        <w:t xml:space="preserve">William Mendoza and Anita Ford Saunders, “Jumping the Line,”</w:t>
      </w:r>
      <w:r>
        <w:t xml:space="preserve"> </w:t>
      </w:r>
      <w:r>
        <w:rPr>
          <w:i/>
        </w:rPr>
        <w:t xml:space="preserve">The Public File</w:t>
      </w:r>
      <w:r>
        <w:t xml:space="preserve"> </w:t>
      </w:r>
      <w:r>
        <w:t xml:space="preserve">(Hartford, CT:</w:t>
      </w:r>
      <w:r>
        <w:t xml:space="preserve"> </w:t>
      </w:r>
      <w:hyperlink r:id="rId226">
        <w:r>
          <w:rPr>
            <w:rStyle w:val="Hyperlink"/>
          </w:rPr>
          <w:t xml:space="preserve">http://www.criticalcommons.org/Members/jackdougherty/clips/jumping-the-line/</w:t>
        </w:r>
      </w:hyperlink>
      <w:r>
        <w:t xml:space="preserve">; WVIT Channel 30 television broadcast, August 1985).</w:t>
      </w:r>
    </w:p>
  </w:footnote>
  <w:footnote w:id="22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 Paul Bass, “Case on Residency and Schools Halted,”</w:t>
      </w:r>
      <w:r>
        <w:t xml:space="preserve"> </w:t>
      </w:r>
      <w:r>
        <w:rPr>
          <w:i/>
        </w:rPr>
        <w:t xml:space="preserve">New York Times</w:t>
      </w:r>
      <w:r>
        <w:t xml:space="preserve">, June 1985, CN14.</w:t>
      </w:r>
    </w:p>
  </w:footnote>
  <w:footnote w:id="231">
    <w:p>
      <w:pPr>
        <w:pStyle w:val="FootnoteText"/>
      </w:pPr>
      <w:r>
        <w:rPr>
          <w:rStyle w:val="FootnoteReference"/>
        </w:rPr>
        <w:footnoteRef/>
      </w:r>
      <w:r>
        <w:t xml:space="preserve"> </w:t>
      </w:r>
      <w:r>
        <w:t xml:space="preserve">Mendoza and Saunders, “Jumping the Line.”</w:t>
      </w:r>
    </w:p>
  </w:footnote>
  <w:footnote w:id="232">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 Dirk Johnson, “Quality of City Schools Tested in Trial on Residency: Equity of Schools Tested in Arrests,”</w:t>
      </w:r>
      <w:r>
        <w:t xml:space="preserve"> </w:t>
      </w:r>
      <w:r>
        <w:rPr>
          <w:i/>
        </w:rPr>
        <w:t xml:space="preserve">New York Times</w:t>
      </w:r>
      <w:r>
        <w:t xml:space="preserve">, May 1985, CN1; Mendoza and Saunders, “Jumping the Line.”</w:t>
      </w:r>
    </w:p>
  </w:footnote>
  <w:footnote w:id="234">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35">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p>
  </w:footnote>
  <w:footnote w:id="236">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p>
  </w:footnote>
  <w:footnote w:id="23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4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p>
  </w:footnote>
  <w:footnote w:id="241">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p>
  </w:footnote>
  <w:footnote w:id="242">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p>
  </w:footnote>
  <w:footnote w:id="243">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44">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1986.</w:t>
      </w:r>
    </w:p>
  </w:footnote>
  <w:footnote w:id="245">
    <w:p>
      <w:pPr>
        <w:pStyle w:val="FootnoteText"/>
      </w:pPr>
      <w:r>
        <w:rPr>
          <w:rStyle w:val="FootnoteReference"/>
        </w:rPr>
        <w:footnoteRef/>
      </w:r>
      <w:r>
        <w:t xml:space="preserve"> </w:t>
      </w:r>
      <w:r>
        <w:t xml:space="preserve">Drury, “2 City Parents Are Charged in Residence Case.”</w:t>
      </w:r>
    </w:p>
  </w:footnote>
  <w:footnote w:id="246">
    <w:p>
      <w:pPr>
        <w:pStyle w:val="FootnoteText"/>
      </w:pPr>
      <w:r>
        <w:rPr>
          <w:rStyle w:val="FootnoteReference"/>
        </w:rPr>
        <w:footnoteRef/>
      </w:r>
      <w:r>
        <w:t xml:space="preserve"> </w:t>
      </w:r>
      <w:r>
        <w:t xml:space="preserve">Drury, “Bloomfield Cracking down on Non-Residents in Schools.”</w:t>
      </w:r>
    </w:p>
  </w:footnote>
  <w:footnote w:id="247">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p>
  </w:footnote>
  <w:footnote w:id="250">
    <w:p>
      <w:pPr>
        <w:pStyle w:val="FootnoteText"/>
      </w:pPr>
      <w:r>
        <w:rPr>
          <w:rStyle w:val="FootnoteReference"/>
        </w:rPr>
        <w:footnoteRef/>
      </w:r>
      <w:r>
        <w:t xml:space="preserve"> </w:t>
      </w:r>
      <w:r>
        <w:t xml:space="preserve">Englehart,</w:t>
      </w:r>
      <w:r>
        <w:t xml:space="preserve"> </w:t>
      </w:r>
    </w:p>
  </w:footnote>
  <w:footnote w:id="252">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53">
    <w:p>
      <w:pPr>
        <w:pStyle w:val="FootnoteText"/>
      </w:pPr>
      <w:r>
        <w:rPr>
          <w:rStyle w:val="FootnoteReference"/>
        </w:rPr>
        <w:footnoteRef/>
      </w:r>
      <w:r>
        <w:t xml:space="preserve"> </w:t>
      </w:r>
      <w:r>
        <w:t xml:space="preserve">US Census, Table 57a: Summary of Economic Characteristics for Towns, 1980.</w:t>
      </w:r>
    </w:p>
  </w:footnote>
  <w:footnote w:id="254">
    <w:p>
      <w:pPr>
        <w:pStyle w:val="FootnoteText"/>
      </w:pPr>
      <w:r>
        <w:rPr>
          <w:rStyle w:val="FootnoteReference"/>
        </w:rPr>
        <w:footnoteRef/>
      </w:r>
      <w:r>
        <w:t xml:space="preserve"> </w:t>
      </w:r>
      <w:r>
        <w:t xml:space="preserve">Mendoza and Saunders, “Jumping the Line.”</w:t>
      </w:r>
    </w:p>
  </w:footnote>
  <w:footnote w:id="255">
    <w:p>
      <w:pPr>
        <w:pStyle w:val="FootnoteText"/>
      </w:pPr>
      <w:r>
        <w:rPr>
          <w:rStyle w:val="FootnoteReference"/>
        </w:rPr>
        <w:footnoteRef/>
      </w:r>
      <w:r>
        <w:t xml:space="preserve"> </w:t>
      </w:r>
      <w:r>
        <w:t xml:space="preserve">Bass, “Case on Residency and Schools Halted.”</w:t>
      </w:r>
    </w:p>
  </w:footnote>
  <w:footnote w:id="256">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p>
  </w:footnote>
  <w:footnote w:id="257">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58">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 Rick Green, “Not in His Town: If You Don’t Live in Bloomfield, William Mahoney’s Job Is to Make Sure You Don’t Go to School There,”</w:t>
      </w:r>
      <w:r>
        <w:t xml:space="preserve"> </w:t>
      </w:r>
      <w:r>
        <w:rPr>
          <w:i/>
        </w:rPr>
        <w:t xml:space="preserve">Hartford Courant</w:t>
      </w:r>
      <w:r>
        <w:t xml:space="preserve">, February 1992, H1+; Linda B Hirsh, “Schools to Use New Policies to Exclude Out-of-Town Residents,”</w:t>
      </w:r>
      <w:r>
        <w:t xml:space="preserve"> </w:t>
      </w:r>
      <w:r>
        <w:rPr>
          <w:i/>
        </w:rPr>
        <w:t xml:space="preserve">Hartford Courant</w:t>
      </w:r>
      <w:r>
        <w:t xml:space="preserve">, July 1992, B5.</w:t>
      </w:r>
    </w:p>
  </w:footnote>
  <w:footnote w:id="269">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p>
  </w:footnote>
  <w:footnote w:id="271">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p>
  </w:footnote>
  <w:footnote w:id="272">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p>
  </w:footnote>
  <w:footnote w:id="273">
    <w:p>
      <w:pPr>
        <w:pStyle w:val="FootnoteText"/>
      </w:pPr>
      <w:r>
        <w:rPr>
          <w:rStyle w:val="FootnoteReference"/>
        </w:rPr>
        <w:footnoteRef/>
      </w:r>
      <w:r>
        <w:t xml:space="preserve"> </w:t>
      </w:r>
      <w:r>
        <w:t xml:space="preserve">Cities, Suburbs, and Schools Project, Trinity College Digital Repository (</w:t>
      </w:r>
      <w:hyperlink r:id="rId274">
        <w:r>
          <w:rPr>
            <w:rStyle w:val="Hyperlink"/>
          </w:rPr>
          <w:t xml:space="preserve">https://digitalrepository.trincoll.edu/cssp/</w:t>
        </w:r>
      </w:hyperlink>
      <w:r>
        <w:t xml:space="preserve">, n.d.).</w:t>
      </w:r>
    </w:p>
  </w:footnote>
  <w:footnote w:id="275">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w:t>
      </w:r>
      <w:r>
        <w:t xml:space="preserve"> </w:t>
      </w:r>
      <w:hyperlink r:id="rId276">
        <w:r>
          <w:rPr>
            <w:rStyle w:val="Hyperlink"/>
          </w:rPr>
          <w:t xml:space="preserve">http://digitalrepository.trincoll.edu/cssp_papers/40/</w:t>
        </w:r>
      </w:hyperlink>
      <w:r>
        <w:t xml:space="preserve">, April 2012).</w:t>
      </w:r>
    </w:p>
  </w:footnote>
  <w:footnote w:id="277">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w:t>
      </w:r>
      <w:r>
        <w:t xml:space="preserve">(</w:t>
      </w:r>
      <w:hyperlink r:id="rId278">
        <w:r>
          <w:rPr>
            <w:rStyle w:val="Hyperlink"/>
          </w:rPr>
          <w:t xml:space="preserve">http://digicoll.library.wisc.edu/cgi/f/findaid/findaid-idx?c=wiarchives;view=reslist;subview=standard;didno=uw-mil-uwmmss0217</w:t>
        </w:r>
      </w:hyperlink>
      <w:r>
        <w:t xml:space="preserve">, 2004)</w:t>
      </w:r>
      <w:r>
        <w:t xml:space="preserve">, and some digitized at</w:t>
      </w:r>
      <w:r>
        <w:t xml:space="preserve"> </w:t>
      </w:r>
      <w:r>
        <w:t xml:space="preserve">“March on Milwaukee,”</w:t>
      </w:r>
      <w:r>
        <w:t xml:space="preserve"> </w:t>
      </w:r>
      <w:r>
        <w:rPr>
          <w:i/>
        </w:rPr>
        <w:t xml:space="preserve">University of Wisconsin Milwaukee Libraries</w:t>
      </w:r>
      <w:r>
        <w:t xml:space="preserve"> </w:t>
      </w:r>
      <w:r>
        <w:t xml:space="preserve">(</w:t>
      </w:r>
      <w:hyperlink r:id="rId279">
        <w:r>
          <w:rPr>
            <w:rStyle w:val="Hyperlink"/>
          </w:rPr>
          <w:t xml:space="preserve">https://uwm.edu/marchonmilwaukee/</w:t>
        </w:r>
      </w:hyperlink>
      <w:r>
        <w:t xml:space="preserve">, n.d.)</w:t>
      </w:r>
    </w:p>
  </w:footnote>
  <w:footnote w:id="280">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281">
    <w:p>
      <w:pPr>
        <w:pStyle w:val="FootnoteText"/>
      </w:pPr>
      <w:r>
        <w:rPr>
          <w:rStyle w:val="FootnoteReference"/>
        </w:rPr>
        <w:footnoteRef/>
      </w:r>
      <w:r>
        <w:t xml:space="preserve"> </w:t>
      </w:r>
      <w:r>
        <w:t xml:space="preserve">Neuenschwander,</w:t>
      </w:r>
      <w:r>
        <w:t xml:space="preserve"> </w:t>
      </w:r>
      <w:r>
        <w:t xml:space="preserve">, p. 64. He also cites case law that the copyright may be jointly held by the interviewee and interviewer.</w:t>
      </w:r>
    </w:p>
  </w:footnote>
  <w:footnote w:id="282">
    <w:p>
      <w:pPr>
        <w:pStyle w:val="FootnoteText"/>
      </w:pPr>
      <w:r>
        <w:rPr>
          <w:rStyle w:val="FootnoteReference"/>
        </w:rPr>
        <w:footnoteRef/>
      </w:r>
      <w:r>
        <w:t xml:space="preserve"> </w:t>
      </w:r>
      <w:r>
        <w:t xml:space="preserve">Oral History Association, “Principles and Best Practices” (</w:t>
      </w:r>
      <w:hyperlink r:id="rId283">
        <w:r>
          <w:rPr>
            <w:rStyle w:val="Hyperlink"/>
          </w:rPr>
          <w:t xml:space="preserve">http://www.oralhistory.org/do-oral-history/principles-and-practices/</w:t>
        </w:r>
      </w:hyperlink>
      <w:r>
        <w:t xml:space="preserve">, 2009).</w:t>
      </w:r>
    </w:p>
  </w:footnote>
  <w:footnote w:id="284">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285">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287">
    <w:p>
      <w:pPr>
        <w:pStyle w:val="FootnoteText"/>
      </w:pPr>
      <w:r>
        <w:rPr>
          <w:rStyle w:val="FootnoteReference"/>
        </w:rPr>
        <w:footnoteRef/>
      </w:r>
      <w:r>
        <w:t xml:space="preserve"> </w:t>
      </w:r>
      <w:hyperlink r:id="rId286">
        <w:r>
          <w:rPr>
            <w:rStyle w:val="Hyperlink"/>
          </w:rPr>
          <w:t xml:space="preserve">https://creativecommons.org/licenses/</w:t>
        </w:r>
      </w:hyperlink>
    </w:p>
  </w:footnote>
  <w:footnote w:id="291">
    <w:p>
      <w:pPr>
        <w:pStyle w:val="FootnoteText"/>
      </w:pPr>
      <w:r>
        <w:rPr>
          <w:rStyle w:val="FootnoteReference"/>
        </w:rPr>
        <w:footnoteRef/>
      </w:r>
      <w:r>
        <w:t xml:space="preserve"> </w:t>
      </w:r>
      <w:hyperlink r:id="rId292">
        <w:r>
          <w:rPr>
            <w:rStyle w:val="Hyperlink"/>
          </w:rPr>
          <w:t xml:space="preserve">https://creativecommons.org/faq/#how-do-cc-licenses-operate</w:t>
        </w:r>
      </w:hyperlink>
    </w:p>
  </w:footnote>
  <w:footnote w:id="293">
    <w:p>
      <w:pPr>
        <w:pStyle w:val="FootnoteText"/>
      </w:pPr>
      <w:r>
        <w:rPr>
          <w:rStyle w:val="FootnoteReference"/>
        </w:rPr>
        <w:footnoteRef/>
      </w:r>
      <w:r>
        <w:t xml:space="preserve"> </w:t>
      </w:r>
      <w:r>
        <w:t xml:space="preserve">Elizabeth Horton Sheff, “Oral History Interview on Sheff Vs. O’Neill” (</w:t>
      </w:r>
      <w:hyperlink r:id="rId294">
        <w:r>
          <w:rPr>
            <w:rStyle w:val="Hyperlink"/>
          </w:rPr>
          <w:t xml:space="preserve">http://digitalrepository.trincoll.edu/cssp_ohistory/16</w:t>
        </w:r>
      </w:hyperlink>
      <w:r>
        <w:t xml:space="preserve">, July 2011).</w:t>
      </w:r>
    </w:p>
  </w:footnote>
  <w:footnote w:id="296">
    <w:p>
      <w:pPr>
        <w:pStyle w:val="FootnoteText"/>
      </w:pPr>
      <w:r>
        <w:rPr>
          <w:rStyle w:val="FootnoteReference"/>
        </w:rPr>
        <w:footnoteRef/>
      </w:r>
      <w:r>
        <w:t xml:space="preserve"> </w:t>
      </w:r>
      <w:r>
        <w:t xml:space="preserve">Sheff,</w:t>
      </w:r>
      <w:r>
        <w:t xml:space="preserve"> </w:t>
      </w:r>
    </w:p>
  </w:footnote>
  <w:footnote w:id="314">
    <w:p>
      <w:pPr>
        <w:pStyle w:val="FootnoteText"/>
      </w:pPr>
      <w:r>
        <w:rPr>
          <w:rStyle w:val="FootnoteReference"/>
        </w:rPr>
        <w:footnoteRef/>
      </w:r>
      <w:r>
        <w:t xml:space="preserve"> </w:t>
      </w:r>
      <w:r>
        <w:t xml:space="preserve">This is a footnote, with no reference</w:t>
      </w:r>
    </w:p>
  </w:footnote>
  <w:footnote w:id="315">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16">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pp. 33-35</w:t>
      </w:r>
    </w:p>
  </w:footnote>
  <w:footnote w:id="320">
    <w:p>
      <w:pPr>
        <w:pStyle w:val="FootnoteText"/>
      </w:pPr>
      <w:r>
        <w:rPr>
          <w:rStyle w:val="FootnoteReference"/>
        </w:rPr>
        <w:footnoteRef/>
      </w:r>
      <w:r>
        <w:t xml:space="preserve"> </w:t>
      </w:r>
      <w:r>
        <w:t xml:space="preserve">Dougherty et al.,</w:t>
      </w:r>
      <w:r>
        <w:t xml:space="preserve"> </w:t>
      </w:r>
    </w:p>
  </w:footnote>
  <w:footnote w:id="324">
    <w:p>
      <w:pPr>
        <w:pStyle w:val="FootnoteText"/>
      </w:pPr>
      <w:r>
        <w:rPr>
          <w:rStyle w:val="FootnoteReference"/>
        </w:rPr>
        <w:footnoteRef/>
      </w:r>
      <w:r>
        <w:t xml:space="preserve"> </w:t>
      </w:r>
      <w:r>
        <w:t xml:space="preserve">Ilyankou and Dougherty, “Map,” 2017</w:t>
      </w:r>
    </w:p>
  </w:footnote>
  <w:footnote w:id="335">
    <w:p>
      <w:pPr>
        <w:pStyle w:val="FootnoteText"/>
      </w:pPr>
      <w:r>
        <w:rPr>
          <w:rStyle w:val="FootnoteReference"/>
        </w:rPr>
        <w:footnoteRef/>
      </w:r>
      <w:r>
        <w:t xml:space="preserve"> </w:t>
      </w:r>
      <w:r>
        <w:t xml:space="preserve">Gregory, “Segregated Seattle.”</w:t>
      </w:r>
    </w:p>
  </w:footnote>
  <w:footnote w:id="337">
    <w:p>
      <w:pPr>
        <w:pStyle w:val="FootnoteText"/>
      </w:pPr>
      <w:r>
        <w:rPr>
          <w:rStyle w:val="FootnoteReference"/>
        </w:rPr>
        <w:footnoteRef/>
      </w:r>
      <w:r>
        <w:t xml:space="preserve"> </w:t>
      </w:r>
      <w:r>
        <w:t xml:space="preserve">Katie Campbell and Jack Dougherty, “How We Found Restrictive Covenants” (</w:t>
      </w:r>
      <w:hyperlink r:id="rId338">
        <w:r>
          <w:rPr>
            <w:rStyle w:val="Hyperlink"/>
          </w:rPr>
          <w:t xml:space="preserve">https://vimeo.com/220562166</w:t>
        </w:r>
      </w:hyperlink>
      <w:r>
        <w:t xml:space="preserve">, 2011).</w:t>
      </w:r>
    </w:p>
  </w:footnote>
  <w:footnote w:id="339">
    <w:p>
      <w:pPr>
        <w:pStyle w:val="FootnoteText"/>
      </w:pPr>
      <w:r>
        <w:rPr>
          <w:rStyle w:val="FootnoteReference"/>
        </w:rPr>
        <w:footnoteRef/>
      </w:r>
      <w:r>
        <w:t xml:space="preserve"> </w:t>
      </w:r>
      <w:r>
        <w:t xml:space="preserve">Everett, “Oral History Interview on West Hartford.”</w:t>
      </w:r>
    </w:p>
  </w:footnote>
  <w:footnote w:id="340">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41">
        <w:r>
          <w:rPr>
            <w:rStyle w:val="Hyperlink"/>
          </w:rPr>
          <w:t xml:space="preserve">https://www.westhartfordct.gov/gov/onlinesvc.asp</w:t>
        </w:r>
      </w:hyperlink>
    </w:p>
  </w:footnote>
  <w:footnote w:id="342">
    <w:p>
      <w:pPr>
        <w:pStyle w:val="FootnoteText"/>
      </w:pPr>
      <w:r>
        <w:rPr>
          <w:rStyle w:val="FootnoteReference"/>
        </w:rPr>
        <w:footnoteRef/>
      </w:r>
      <w:r>
        <w:t xml:space="preserve"> </w:t>
      </w:r>
      <w:r>
        <w:t xml:space="preserve">Inc., “Agreement Concerning Building Restrictions.”</w:t>
      </w:r>
    </w:p>
  </w:footnote>
  <w:footnote w:id="344">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345">
        <w:r>
          <w:rPr>
            <w:rStyle w:val="Hyperlink"/>
          </w:rPr>
          <w:t xml:space="preserve">https://www.socialexplorer.com/tables/C1940TractDS/R11422383</w:t>
        </w:r>
      </w:hyperlink>
      <w:r>
        <w:t xml:space="preserve">.</w:t>
      </w:r>
    </w:p>
  </w:footnote>
  <w:footnote w:id="346">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347">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8cc247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1c89f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8" Target="media/rId318.jp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149" Target="media/rId149.png" /><Relationship Type="http://schemas.openxmlformats.org/officeDocument/2006/relationships/image" Id="rId132" Target="media/rId132.jp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83" Target="media/rId183.jpg" /><Relationship Type="http://schemas.openxmlformats.org/officeDocument/2006/relationships/image" Id="rId239" Target="media/rId239.png" /><Relationship Type="http://schemas.openxmlformats.org/officeDocument/2006/relationships/image" Id="rId249" Target="media/rId249.png" /><Relationship Type="http://schemas.openxmlformats.org/officeDocument/2006/relationships/image" Id="rId288" Target="media/rId288.jp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22" Target="media/rId22.pn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48" Target="media/rId48.png" /><Relationship Type="http://schemas.openxmlformats.org/officeDocument/2006/relationships/image" Id="rId25" Target="media/rId25.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28" Target="media/rId22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8"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0"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34" Target="http://depts.washington.edu/civilr/segregated.htm" TargetMode="External" /><Relationship Type="http://schemas.openxmlformats.org/officeDocument/2006/relationships/hyperlink" Id="rId278"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4"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6" Target="http://digitalrepository.trincoll.edu/cssp_papers/40/" TargetMode="External" /><Relationship Type="http://schemas.openxmlformats.org/officeDocument/2006/relationships/hyperlink" Id="rId289" Target="http://education-copyright.org/creative-commons" TargetMode="External" /><Relationship Type="http://schemas.openxmlformats.org/officeDocument/2006/relationships/hyperlink" Id="rId308"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3"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11" Target="http://zotero.org"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0" Target="https://benmarwick.github.io/bookdown-ort/" TargetMode="External" /><Relationship Type="http://schemas.openxmlformats.org/officeDocument/2006/relationships/hyperlink" Id="rId306" Target="https://bookdown.org/yihui/bookdown/markdown-syntax.html"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2" Target="https://creativecommons.org/faq/#how-do-cc-licenses-operate" TargetMode="External" /><Relationship Type="http://schemas.openxmlformats.org/officeDocument/2006/relationships/hyperlink" Id="rId286"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274"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07" Target="https://github.com/DataVizForAll/datavizforall-bookdown"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30"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43"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04" Target="https://github.com/rstudio/bookdown/issues/589" TargetMode="External" /><Relationship Type="http://schemas.openxmlformats.org/officeDocument/2006/relationships/hyperlink" Id="rId319" Target="https://google.com"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29" Target="https://pdfobject.com/static.html" TargetMode="External" /><Relationship Type="http://schemas.openxmlformats.org/officeDocument/2006/relationships/hyperlink" Id="rId312" Target="https://retorque.re/zotero-better-bibtex/" TargetMode="External" /><Relationship Type="http://schemas.openxmlformats.org/officeDocument/2006/relationships/hyperlink" Id="rId313"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302" Target="https://stackoverflow.com/questions/48965247/use-csl-file-for-pdf-output-in-bookdown/49145699#49145699" TargetMode="External" /><Relationship Type="http://schemas.openxmlformats.org/officeDocument/2006/relationships/hyperlink" Id="rId99" Target="https://thewadsworth.org/about/history/" TargetMode="External" /><Relationship Type="http://schemas.openxmlformats.org/officeDocument/2006/relationships/hyperlink" Id="rId279" Target="https://uwm.edu/marchonmilwaukee/" TargetMode="External" /><Relationship Type="http://schemas.openxmlformats.org/officeDocument/2006/relationships/hyperlink" Id="rId338"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45"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41" Target="https://www.westhartfordct.gov/gov/onlinesvc.asp"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6" Target="challenging.html#jumping-the-school-district-line" TargetMode="External" /><Relationship Type="http://schemas.openxmlformats.org/officeDocument/2006/relationships/hyperlink" Id="rId30" Target="challenging.html#mobilizing-against-racial-steering-and-redlining" TargetMode="External" /><Relationship Type="http://schemas.openxmlformats.org/officeDocument/2006/relationships/hyperlink" Id="rId38" Target="creating.html#how-we-found-restrictive-covenants" TargetMode="External" /><Relationship Type="http://schemas.openxmlformats.org/officeDocument/2006/relationships/hyperlink" Id="rId298" Target="creating.html#who-own-oral-history-a-creative-commons-solution" TargetMode="External" /><Relationship Type="http://schemas.openxmlformats.org/officeDocument/2006/relationships/hyperlink" Id="rId43" Target="creating.html#who-owns-oral-history-a-creative-commons-solution" TargetMode="External" /><Relationship Type="http://schemas.openxmlformats.org/officeDocument/2006/relationships/hyperlink" Id="rId290" Target="creating.html/#oral-history-consent-form" TargetMode="External" /><Relationship Type="http://schemas.openxmlformats.org/officeDocument/2006/relationships/hyperlink" Id="rId57" Target="http://DataVizForAll.org." TargetMode="External" /><Relationship Type="http://schemas.openxmlformats.org/officeDocument/2006/relationships/hyperlink" Id="rId71" Target="http://OnTheLine.trincoll.edu" TargetMode="External" /><Relationship Type="http://schemas.openxmlformats.org/officeDocument/2006/relationships/hyperlink" Id="rId59" Target="http://WebWriting.trincoll.edu" TargetMode="External" /><Relationship Type="http://schemas.openxmlformats.org/officeDocument/2006/relationships/hyperlink" Id="rId61" Target="http://WritingHistory.trincoll.edu" TargetMode="External" /><Relationship Type="http://schemas.openxmlformats.org/officeDocument/2006/relationships/hyperlink" Id="rId126" Target="http://answers.google.com/answers/threadview/id/533059.html" TargetMode="External" /><Relationship Type="http://schemas.openxmlformats.org/officeDocument/2006/relationships/hyperlink" Id="rId72" Target="http://archive.org" TargetMode="External" /><Relationship Type="http://schemas.openxmlformats.org/officeDocument/2006/relationships/hyperlink" Id="rId73" Target="http://archive.org/donate/" TargetMode="External" /><Relationship Type="http://schemas.openxmlformats.org/officeDocument/2006/relationships/hyperlink" Id="rId127" Target="http://archives.huduser.org/about/hud_timeline/tl/hudtimeline_1930.html" TargetMode="External" /><Relationship Type="http://schemas.openxmlformats.org/officeDocument/2006/relationships/hyperlink" Id="rId217" Target="http://commons.trincoll.edu/cssp/zoning" TargetMode="External" /><Relationship Type="http://schemas.openxmlformats.org/officeDocument/2006/relationships/hyperlink" Id="rId215" Target="http://commons.trincoll.edu/cssp/zoning/" TargetMode="External" /><Relationship Type="http://schemas.openxmlformats.org/officeDocument/2006/relationships/hyperlink" Id="rId28" Target="http://commons.trincoll.edu/jackdougherty" TargetMode="External" /><Relationship Type="http://schemas.openxmlformats.org/officeDocument/2006/relationships/hyperlink" Id="rId168" Target="http://connecticuthistory.org/the-effects-of-redlining-on-the-hartford-metropolitan-region/" TargetMode="External" /><Relationship Type="http://schemas.openxmlformats.org/officeDocument/2006/relationships/hyperlink" Id="rId270"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8" Target="http://datavizforall.org" TargetMode="External" /><Relationship Type="http://schemas.openxmlformats.org/officeDocument/2006/relationships/hyperlink" Id="rId334" Target="http://depts.washington.edu/civilr/segregated.htm" TargetMode="External" /><Relationship Type="http://schemas.openxmlformats.org/officeDocument/2006/relationships/hyperlink" Id="rId278" Target="http://digicoll.library.wisc.edu/cgi/f/findaid/findaid-idx?c=wiarchives;view=reslist;subview=standard;didno=uw-mil-uwmmss0217" TargetMode="External" /><Relationship Type="http://schemas.openxmlformats.org/officeDocument/2006/relationships/hyperlink" Id="rId135" Target="http://digitalrepository.trincoll.edu/cssp_archives/14/" TargetMode="External" /><Relationship Type="http://schemas.openxmlformats.org/officeDocument/2006/relationships/hyperlink" Id="rId294" Target="http://digitalrepository.trincoll.edu/cssp_ohistory/16" TargetMode="External" /><Relationship Type="http://schemas.openxmlformats.org/officeDocument/2006/relationships/hyperlink" Id="rId200" Target="http://digitalrepository.trincoll.edu/cssp_ohistory/17" TargetMode="External" /><Relationship Type="http://schemas.openxmlformats.org/officeDocument/2006/relationships/hyperlink" Id="rId190" Target="http://digitalrepository.trincoll.edu/cssp_ohistory/19" TargetMode="External" /><Relationship Type="http://schemas.openxmlformats.org/officeDocument/2006/relationships/hyperlink" Id="rId197" Target="http://digitalrepository.trincoll.edu/cssp_ohistory/21" TargetMode="External" /><Relationship Type="http://schemas.openxmlformats.org/officeDocument/2006/relationships/hyperlink" Id="rId195" Target="http://digitalrepository.trincoll.edu/cssp_ohistory/23" TargetMode="External" /><Relationship Type="http://schemas.openxmlformats.org/officeDocument/2006/relationships/hyperlink" Id="rId276" Target="http://digitalrepository.trincoll.edu/cssp_papers/40/" TargetMode="External" /><Relationship Type="http://schemas.openxmlformats.org/officeDocument/2006/relationships/hyperlink" Id="rId289" Target="http://education-copyright.org/creative-commons" TargetMode="External" /><Relationship Type="http://schemas.openxmlformats.org/officeDocument/2006/relationships/hyperlink" Id="rId308" Target="http://example.com" TargetMode="External" /><Relationship Type="http://schemas.openxmlformats.org/officeDocument/2006/relationships/hyperlink" Id="rId67" Target="http://github.com" TargetMode="External" /><Relationship Type="http://schemas.openxmlformats.org/officeDocument/2006/relationships/hyperlink" Id="rId33" Target="http://github.com/OnTheLine/" TargetMode="External" /><Relationship Type="http://schemas.openxmlformats.org/officeDocument/2006/relationships/hyperlink" Id="rId125" Target="http://homeguides.sfgate.com/amortization-mortgage-2809.html" TargetMode="External" /><Relationship Type="http://schemas.openxmlformats.org/officeDocument/2006/relationships/hyperlink" Id="rId26" Target="http://internet2.trincoll.edu/facprofiles/Default.aspx?fid=1004266" TargetMode="External" /><Relationship Type="http://schemas.openxmlformats.org/officeDocument/2006/relationships/hyperlink" Id="rId45" Target="http://lifeinwesthartford.org" TargetMode="External" /><Relationship Type="http://schemas.openxmlformats.org/officeDocument/2006/relationships/hyperlink" Id="rId46" Target="http://magic.lib.uconn.edu" TargetMode="External" /><Relationship Type="http://schemas.openxmlformats.org/officeDocument/2006/relationships/hyperlink" Id="rId204" Target="http://magic.lib.uconn.edu/otl/doclink_covenant.html" TargetMode="External" /><Relationship Type="http://schemas.openxmlformats.org/officeDocument/2006/relationships/hyperlink" Id="rId142" Target="http://magic.lib.uconn.edu/otl/doclink_holc.html" TargetMode="External" /><Relationship Type="http://schemas.openxmlformats.org/officeDocument/2006/relationships/hyperlink" Id="rId212" Target="http://magic.lib.uconn.edu/otl/dualcontrol_zoning_westhartford.html" TargetMode="External" /><Relationship Type="http://schemas.openxmlformats.org/officeDocument/2006/relationships/hyperlink" Id="rId133" Target="http://mapwarper.net/maps/15096" TargetMode="External" /><Relationship Type="http://schemas.openxmlformats.org/officeDocument/2006/relationships/hyperlink" Id="rId136" Target="http://mapwarper.net/maps/15097" TargetMode="External" /><Relationship Type="http://schemas.openxmlformats.org/officeDocument/2006/relationships/hyperlink" Id="rId268" Target="http://ohda.matrix.msu.edu/2012/06/a-creative-commons-solution/" TargetMode="External" /><Relationship Type="http://schemas.openxmlformats.org/officeDocument/2006/relationships/hyperlink" Id="rId66" Target="http://ontheline.trincoll.edu" TargetMode="External" /><Relationship Type="http://schemas.openxmlformats.org/officeDocument/2006/relationships/hyperlink" Id="rId70" Target="http://ontheline.trincoll.edu/" TargetMode="External" /><Relationship Type="http://schemas.openxmlformats.org/officeDocument/2006/relationships/hyperlink" Id="rId180" Target="http://prologuedc.com/blog/mapping-segregation" TargetMode="External" /><Relationship Type="http://schemas.openxmlformats.org/officeDocument/2006/relationships/hyperlink" Id="rId112" Target="http://publications.newberry.org/ahcbp/pages/Connecticut.html" TargetMode="External" /><Relationship Type="http://schemas.openxmlformats.org/officeDocument/2006/relationships/hyperlink" Id="rId124" Target="http://realestateresearch.frbatlanta.org/rer/2012/04/debunking-popular-myth-about-mortgage-lending.html" TargetMode="External" /><Relationship Type="http://schemas.openxmlformats.org/officeDocument/2006/relationships/hyperlink" Id="rId27" Target="http://twitter.com/doughertyjack" TargetMode="External" /><Relationship Type="http://schemas.openxmlformats.org/officeDocument/2006/relationships/hyperlink" Id="rId226" Target="http://www.criticalcommons.org/Members/jackdougherty/clips/jumping-the-line/" TargetMode="External" /><Relationship Type="http://schemas.openxmlformats.org/officeDocument/2006/relationships/hyperlink" Id="rId113" Target="http://www.ct.gov/sots/cwp/view.asp?a=3188&amp;q=392440" TargetMode="External" /><Relationship Type="http://schemas.openxmlformats.org/officeDocument/2006/relationships/hyperlink" Id="rId283" Target="http://www.oralhistory.org/do-oral-history/principles-and-practices/" TargetMode="External" /><Relationship Type="http://schemas.openxmlformats.org/officeDocument/2006/relationships/hyperlink" Id="rId187" Target="http://www.theatlantic.com/galleries/reparations/1/" TargetMode="External" /><Relationship Type="http://schemas.openxmlformats.org/officeDocument/2006/relationships/hyperlink" Id="rId311" Target="http://zotero.org" TargetMode="External" /><Relationship Type="http://schemas.openxmlformats.org/officeDocument/2006/relationships/hyperlink" Id="rId154" Target="https://babel.hathitrust.org/cgi/pt?id=mdp.39015018409246;view=1up;seq=195&#39;" TargetMode="External" /><Relationship Type="http://schemas.openxmlformats.org/officeDocument/2006/relationships/hyperlink" Id="rId150" Target="https://babel.hathitrust.org/cgi/pt?id=mdp.39015018409246;view=1up;seq=246&#39;" TargetMode="External" /><Relationship Type="http://schemas.openxmlformats.org/officeDocument/2006/relationships/hyperlink" Id="rId158" Target="https://babel.hathitrust.org/cgi/pt?id=mdp.39015018409261;view=1up;seq=476" TargetMode="External" /><Relationship Type="http://schemas.openxmlformats.org/officeDocument/2006/relationships/hyperlink" Id="rId300" Target="https://benmarwick.github.io/bookdown-ort/" TargetMode="External" /><Relationship Type="http://schemas.openxmlformats.org/officeDocument/2006/relationships/hyperlink" Id="rId306" Target="https://bookdown.org/yihui/bookdown/markdown-syntax.html" TargetMode="External" /><Relationship Type="http://schemas.openxmlformats.org/officeDocument/2006/relationships/hyperlink" Id="rId161" Target="https://books.google.com/ngrams/graph?content=redlining&amp;year_start=1940&amp;year_end=2000" TargetMode="External" /><Relationship Type="http://schemas.openxmlformats.org/officeDocument/2006/relationships/hyperlink" Id="rId77" Target="https://choosealicense.com/licenses/mit/" TargetMode="External" /><Relationship Type="http://schemas.openxmlformats.org/officeDocument/2006/relationships/hyperlink" Id="rId292" Target="https://creativecommons.org/faq/#how-do-cc-licenses-operate" TargetMode="External" /><Relationship Type="http://schemas.openxmlformats.org/officeDocument/2006/relationships/hyperlink" Id="rId286" Target="https://creativecommons.org/licenses/" TargetMode="External" /><Relationship Type="http://schemas.openxmlformats.org/officeDocument/2006/relationships/hyperlink" Id="rId188" Target="https://depts.washington.edu/civilr/segregated.htm" TargetMode="External" /><Relationship Type="http://schemas.openxmlformats.org/officeDocument/2006/relationships/hyperlink" Id="rId274" Target="https://digitalrepository.trincoll.edu/cssp/" TargetMode="External" /><Relationship Type="http://schemas.openxmlformats.org/officeDocument/2006/relationships/hyperlink" Id="rId218" Target="https://docs.google.com/presentation/d/1yYDQTzNoUBzCW6tCSH21beUrwsYQVwVTQO3Ctqf2BPM/edit#slide=id.g299a37f04f_0_0" TargetMode="External" /><Relationship Type="http://schemas.openxmlformats.org/officeDocument/2006/relationships/hyperlink" Id="rId130" Target="https://dsl.richmond.edu/panorama/redlining/" TargetMode="External" /><Relationship Type="http://schemas.openxmlformats.org/officeDocument/2006/relationships/hyperlink" Id="rId307" Target="https://github.com/DataVizForAll/datavizforall-bookdown" TargetMode="External" /><Relationship Type="http://schemas.openxmlformats.org/officeDocument/2006/relationships/hyperlink" Id="rId175" Target="https://github.com/OnTheLine/otl-covenants" TargetMode="External" /><Relationship Type="http://schemas.openxmlformats.org/officeDocument/2006/relationships/hyperlink" Id="rId107" Target="https://github.com/OnTheLine/otl-home-value" TargetMode="External" /><Relationship Type="http://schemas.openxmlformats.org/officeDocument/2006/relationships/hyperlink" Id="rId140" Target="https://github.com/OnTheLine/otl-redlining" TargetMode="External" /><Relationship Type="http://schemas.openxmlformats.org/officeDocument/2006/relationships/hyperlink" Id="rId116" Target="https://github.com/OnTheLine/otl-town-borders" TargetMode="External" /><Relationship Type="http://schemas.openxmlformats.org/officeDocument/2006/relationships/hyperlink" Id="rId172" Target="https://github.com/jackdougherty/otl-covenants" TargetMode="External" /><Relationship Type="http://schemas.openxmlformats.org/officeDocument/2006/relationships/hyperlink" Id="rId330" Target="https://github.com/mozilla/pdf.js" TargetMode="External" /><Relationship Type="http://schemas.openxmlformats.org/officeDocument/2006/relationships/hyperlink" Id="rId76" Target="https://github.com/ontheline" TargetMode="External" /><Relationship Type="http://schemas.openxmlformats.org/officeDocument/2006/relationships/hyperlink" Id="rId343" Target="https://github.com/ontheline/otl-covenants/" TargetMode="External" /><Relationship Type="http://schemas.openxmlformats.org/officeDocument/2006/relationships/hyperlink" Id="rId146" Target="https://github.com/ontheline/otl-redlining/blob/master/sources/holc-hartford-1937-appraisal.pdf" TargetMode="External" /><Relationship Type="http://schemas.openxmlformats.org/officeDocument/2006/relationships/hyperlink" Id="rId114" Target="https://github.com/ontheline/otl-town-borders/" TargetMode="External" /><Relationship Type="http://schemas.openxmlformats.org/officeDocument/2006/relationships/hyperlink" Id="rId304" Target="https://github.com/rstudio/bookdown/issues/589" TargetMode="External" /><Relationship Type="http://schemas.openxmlformats.org/officeDocument/2006/relationships/hyperlink" Id="rId319" Target="https://google.com" TargetMode="External" /><Relationship Type="http://schemas.openxmlformats.org/officeDocument/2006/relationships/hyperlink" Id="rId174" Target="https://ontheline.github.io/otl-covenants/index-frame.html" TargetMode="External" /><Relationship Type="http://schemas.openxmlformats.org/officeDocument/2006/relationships/hyperlink" Id="rId94" Target="https://ontheline.github.io/otl-google-books-api/scribners-monthly-1876.html" TargetMode="External" /><Relationship Type="http://schemas.openxmlformats.org/officeDocument/2006/relationships/hyperlink" Id="rId106" Target="https://ontheline.github.io/otl-home-value/index-frame.html" TargetMode="External" /><Relationship Type="http://schemas.openxmlformats.org/officeDocument/2006/relationships/hyperlink" Id="rId139" Target="https://ontheline.github.io/otl-redlining/index-frame.html" TargetMode="External" /><Relationship Type="http://schemas.openxmlformats.org/officeDocument/2006/relationships/hyperlink" Id="rId111" Target="https://ontheline.github.io/otl-town-borders/index-frame.html" TargetMode="External" /><Relationship Type="http://schemas.openxmlformats.org/officeDocument/2006/relationships/hyperlink" Id="rId329" Target="https://pdfobject.com/static.html" TargetMode="External" /><Relationship Type="http://schemas.openxmlformats.org/officeDocument/2006/relationships/hyperlink" Id="rId312" Target="https://retorque.re/zotero-better-bibtex/" TargetMode="External" /><Relationship Type="http://schemas.openxmlformats.org/officeDocument/2006/relationships/hyperlink" Id="rId313" Target="https://retorque.re/zotero-better-bibtex/installation/" TargetMode="External" /><Relationship Type="http://schemas.openxmlformats.org/officeDocument/2006/relationships/hyperlink" Id="rId179" Target="https://scholar.google.com/scholar_case?case=11135903580197116691" TargetMode="External" /><Relationship Type="http://schemas.openxmlformats.org/officeDocument/2006/relationships/hyperlink" Id="rId192" Target="https://scholar.google.com/scholar_case?case=12732018998507979172" TargetMode="External" /><Relationship Type="http://schemas.openxmlformats.org/officeDocument/2006/relationships/hyperlink" Id="rId193" Target="https://scholar.google.com/scholar_case?case=15478926121065691421" TargetMode="External" /><Relationship Type="http://schemas.openxmlformats.org/officeDocument/2006/relationships/hyperlink" Id="rId302" Target="https://stackoverflow.com/questions/48965247/use-csl-file-for-pdf-output-in-bookdown/49145699#49145699" TargetMode="External" /><Relationship Type="http://schemas.openxmlformats.org/officeDocument/2006/relationships/hyperlink" Id="rId99" Target="https://thewadsworth.org/about/history/" TargetMode="External" /><Relationship Type="http://schemas.openxmlformats.org/officeDocument/2006/relationships/hyperlink" Id="rId279" Target="https://uwm.edu/marchonmilwaukee/" TargetMode="External" /><Relationship Type="http://schemas.openxmlformats.org/officeDocument/2006/relationships/hyperlink" Id="rId338" Target="https://vimeo.com/220562166" TargetMode="External" /><Relationship Type="http://schemas.openxmlformats.org/officeDocument/2006/relationships/hyperlink" Id="rId230" Target="https://vimeo.com/296304521" TargetMode="External" /><Relationship Type="http://schemas.openxmlformats.org/officeDocument/2006/relationships/hyperlink" Id="rId345" Target="https://www.socialexplorer.com/tables/C1940TractDS/R11422383" TargetMode="External" /><Relationship Type="http://schemas.openxmlformats.org/officeDocument/2006/relationships/hyperlink" Id="rId63" Target="https://www.uncpress.org/book/9780807855249/more-than-one-struggle/" TargetMode="External" /><Relationship Type="http://schemas.openxmlformats.org/officeDocument/2006/relationships/hyperlink" Id="rId341" Target="https://www.westhartfordct.gov/gov/onlinesvc.asp" TargetMode="External" /><Relationship Type="http://schemas.openxmlformats.org/officeDocument/2006/relationships/hyperlink" Id="rId81"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177" Target="mapping.html#how-we-found-restrictive-covenants" TargetMode="External" /><Relationship Type="http://schemas.openxmlformats.org/officeDocument/2006/relationships/hyperlink" Id="rId41" Target="separating.html#federal-lending-and-redlining" TargetMode="External" /><Relationship Type="http://schemas.openxmlformats.org/officeDocument/2006/relationships/hyperlink" Id="rId35"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dcterms:created xsi:type="dcterms:W3CDTF">2019-02-13T01:47:21Z</dcterms:created>
  <dcterms:modified xsi:type="dcterms:W3CDTF">2019-02-13T01:47:21Z</dcterms:modified>
</cp:coreProperties>
</file>