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1526"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Drug potency</w:t>
      </w:r>
    </w:p>
    <w:p w14:paraId="0392FDD1" w14:textId="5ABF78F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 xml:space="preserve">Definition: </w:t>
      </w:r>
      <w:r w:rsidR="008C32DF">
        <w:rPr>
          <w:rFonts w:ascii="Segoe UI" w:eastAsia="Times New Roman" w:hAnsi="Segoe UI" w:cs="Segoe UI"/>
          <w:color w:val="000000"/>
          <w:sz w:val="20"/>
          <w:szCs w:val="20"/>
        </w:rPr>
        <w:t>A quality of a drug</w:t>
      </w:r>
      <w:r w:rsidRPr="00A92D07">
        <w:rPr>
          <w:rFonts w:ascii="Segoe UI" w:eastAsia="Times New Roman" w:hAnsi="Segoe UI" w:cs="Segoe UI"/>
          <w:color w:val="000000"/>
          <w:sz w:val="20"/>
          <w:szCs w:val="20"/>
        </w:rPr>
        <w:t xml:space="preserve"> that is the amount of a desired effect of the drug for a given dose and a given mode of administration.</w:t>
      </w:r>
    </w:p>
    <w:p w14:paraId="391FF871"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Comment: Drugs may have different potencies for different drug effects. Effect of the drug on side-effects is not covered by this definition. If a drug has more than one effect that may be desired, it is necessary to specify what effect or</w:t>
      </w:r>
      <w:bookmarkStart w:id="0" w:name="_GoBack"/>
      <w:bookmarkEnd w:id="0"/>
      <w:r w:rsidRPr="00A92D07">
        <w:rPr>
          <w:rFonts w:ascii="Segoe UI" w:eastAsia="Times New Roman" w:hAnsi="Segoe UI" w:cs="Segoe UI"/>
          <w:color w:val="000000"/>
          <w:sz w:val="20"/>
          <w:szCs w:val="20"/>
        </w:rPr>
        <w:t xml:space="preserve"> effects are included </w:t>
      </w:r>
      <w:proofErr w:type="gramStart"/>
      <w:r w:rsidRPr="00A92D07">
        <w:rPr>
          <w:rFonts w:ascii="Segoe UI" w:eastAsia="Times New Roman" w:hAnsi="Segoe UI" w:cs="Segoe UI"/>
          <w:color w:val="000000"/>
          <w:sz w:val="20"/>
          <w:szCs w:val="20"/>
        </w:rPr>
        <w:t>in a given</w:t>
      </w:r>
      <w:proofErr w:type="gramEnd"/>
      <w:r w:rsidRPr="00A92D07">
        <w:rPr>
          <w:rFonts w:ascii="Segoe UI" w:eastAsia="Times New Roman" w:hAnsi="Segoe UI" w:cs="Segoe UI"/>
          <w:color w:val="000000"/>
          <w:sz w:val="20"/>
          <w:szCs w:val="20"/>
        </w:rPr>
        <w:t xml:space="preserve"> usage of the term.</w:t>
      </w:r>
    </w:p>
    <w:p w14:paraId="1A8AE5C3" w14:textId="77777777" w:rsidR="00A92D07" w:rsidRPr="00A92D07" w:rsidRDefault="00A92D07" w:rsidP="00A92D07">
      <w:pPr>
        <w:rPr>
          <w:rFonts w:ascii="Segoe UI" w:eastAsia="Times New Roman" w:hAnsi="Segoe UI" w:cs="Segoe UI"/>
          <w:color w:val="000000"/>
        </w:rPr>
      </w:pPr>
    </w:p>
    <w:p w14:paraId="5D9D3418"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Drug unit dose</w:t>
      </w:r>
    </w:p>
    <w:p w14:paraId="72E456C8" w14:textId="28B835B6"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 xml:space="preserve">Definition: </w:t>
      </w:r>
      <w:r w:rsidR="008C32DF">
        <w:rPr>
          <w:rFonts w:ascii="Segoe UI" w:eastAsia="Times New Roman" w:hAnsi="Segoe UI" w:cs="Segoe UI"/>
          <w:color w:val="000000"/>
          <w:sz w:val="20"/>
          <w:szCs w:val="20"/>
        </w:rPr>
        <w:t>A quality</w:t>
      </w:r>
      <w:r w:rsidRPr="00A92D07">
        <w:rPr>
          <w:rFonts w:ascii="Segoe UI" w:eastAsia="Times New Roman" w:hAnsi="Segoe UI" w:cs="Segoe UI"/>
          <w:color w:val="000000"/>
          <w:sz w:val="20"/>
          <w:szCs w:val="20"/>
        </w:rPr>
        <w:t xml:space="preserve"> of a drug preparation that is the amount of the drug that is contained in that preparation.</w:t>
      </w:r>
    </w:p>
    <w:p w14:paraId="3CE21D3C" w14:textId="6186FCC1" w:rsidR="00A92D07" w:rsidRDefault="00A92D07" w:rsidP="00A92D07">
      <w:pPr>
        <w:rPr>
          <w:rFonts w:ascii="Segoe UI" w:eastAsia="Times New Roman" w:hAnsi="Segoe UI" w:cs="Segoe UI"/>
          <w:color w:val="000000"/>
          <w:sz w:val="20"/>
          <w:szCs w:val="20"/>
        </w:rPr>
      </w:pPr>
      <w:r w:rsidRPr="00A92D07">
        <w:rPr>
          <w:rFonts w:ascii="Segoe UI" w:eastAsia="Times New Roman" w:hAnsi="Segoe UI" w:cs="Segoe UI"/>
          <w:color w:val="000000"/>
          <w:sz w:val="20"/>
          <w:szCs w:val="20"/>
        </w:rPr>
        <w:t>Comment: This is not the same as dose received or dose that is potentially delivered by the preparation into the body. Drug unit dose as an attribute of a defined drug preparation (e.g. as in 4mg nicotine gum, 500mg paracetamol capsule)</w:t>
      </w:r>
    </w:p>
    <w:p w14:paraId="129B6AC2" w14:textId="6F5B4481" w:rsidR="008C32DF" w:rsidRDefault="008C32DF" w:rsidP="00A92D07">
      <w:pPr>
        <w:rPr>
          <w:rFonts w:ascii="Segoe UI" w:eastAsia="Times New Roman" w:hAnsi="Segoe UI" w:cs="Segoe UI"/>
          <w:color w:val="000000"/>
          <w:sz w:val="20"/>
          <w:szCs w:val="20"/>
        </w:rPr>
      </w:pPr>
    </w:p>
    <w:p w14:paraId="1B5FF344" w14:textId="2BB4EE5D" w:rsidR="008C32DF" w:rsidRDefault="008C32DF" w:rsidP="00A92D07">
      <w:pPr>
        <w:rPr>
          <w:rFonts w:ascii="Segoe UI" w:eastAsia="Times New Roman" w:hAnsi="Segoe UI" w:cs="Segoe UI"/>
          <w:color w:val="000000"/>
          <w:sz w:val="20"/>
          <w:szCs w:val="20"/>
        </w:rPr>
      </w:pPr>
      <w:r>
        <w:rPr>
          <w:rFonts w:ascii="Segoe UI" w:eastAsia="Times New Roman" w:hAnsi="Segoe UI" w:cs="Segoe UI"/>
          <w:color w:val="000000"/>
          <w:sz w:val="20"/>
          <w:szCs w:val="20"/>
        </w:rPr>
        <w:t>Drug concentration</w:t>
      </w:r>
    </w:p>
    <w:p w14:paraId="1E6B9FCC" w14:textId="41D645D8" w:rsidR="008C32DF" w:rsidRPr="00A92D07" w:rsidRDefault="008C32DF" w:rsidP="00A92D07">
      <w:pPr>
        <w:rPr>
          <w:rFonts w:ascii="Segoe UI" w:eastAsia="Times New Roman" w:hAnsi="Segoe UI" w:cs="Segoe UI"/>
          <w:color w:val="000000"/>
        </w:rPr>
      </w:pPr>
      <w:r>
        <w:rPr>
          <w:rFonts w:ascii="Segoe UI" w:eastAsia="Times New Roman" w:hAnsi="Segoe UI" w:cs="Segoe UI"/>
          <w:color w:val="000000"/>
          <w:sz w:val="20"/>
          <w:szCs w:val="20"/>
        </w:rPr>
        <w:t xml:space="preserve">Definition: A quality of a drug preparation that is the concentration of the drug in the preparation. </w:t>
      </w:r>
    </w:p>
    <w:p w14:paraId="498853E6" w14:textId="77777777" w:rsidR="00A92D07" w:rsidRPr="00A92D07" w:rsidRDefault="00A92D07" w:rsidP="00A92D07">
      <w:pPr>
        <w:rPr>
          <w:rFonts w:ascii="Segoe UI" w:eastAsia="Times New Roman" w:hAnsi="Segoe UI" w:cs="Segoe UI"/>
          <w:color w:val="000000"/>
        </w:rPr>
      </w:pPr>
    </w:p>
    <w:p w14:paraId="0E0774E0"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Drug received dose</w:t>
      </w:r>
    </w:p>
    <w:p w14:paraId="4F1B7271"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Definition: A process attribute of drug ingestion that is the amount of a drug that is ingested.</w:t>
      </w:r>
    </w:p>
    <w:p w14:paraId="6B023450" w14:textId="3A049E11" w:rsidR="00A92D07" w:rsidRDefault="00A92D07" w:rsidP="00A92D07">
      <w:pPr>
        <w:rPr>
          <w:rFonts w:ascii="Segoe UI" w:eastAsia="Times New Roman" w:hAnsi="Segoe UI" w:cs="Segoe UI"/>
          <w:color w:val="000000"/>
          <w:sz w:val="20"/>
          <w:szCs w:val="20"/>
        </w:rPr>
      </w:pPr>
      <w:r w:rsidRPr="00A92D07">
        <w:rPr>
          <w:rFonts w:ascii="Segoe UI" w:eastAsia="Times New Roman" w:hAnsi="Segoe UI" w:cs="Segoe UI"/>
          <w:color w:val="000000"/>
          <w:sz w:val="20"/>
          <w:szCs w:val="20"/>
        </w:rPr>
        <w:t>Comment: To be meaningful it is necessary to describe the ingestion process in terms of its duration and mode of ingestion. Ingestion in this case means entering body tissue. It does not include drug that is swallowed but not absorbed through the wall of the G</w:t>
      </w:r>
      <w:r w:rsidR="008C32DF">
        <w:rPr>
          <w:rFonts w:ascii="Segoe UI" w:eastAsia="Times New Roman" w:hAnsi="Segoe UI" w:cs="Segoe UI"/>
          <w:color w:val="000000"/>
          <w:sz w:val="20"/>
          <w:szCs w:val="20"/>
        </w:rPr>
        <w:t>I</w:t>
      </w:r>
      <w:r w:rsidRPr="00A92D07">
        <w:rPr>
          <w:rFonts w:ascii="Segoe UI" w:eastAsia="Times New Roman" w:hAnsi="Segoe UI" w:cs="Segoe UI"/>
          <w:color w:val="000000"/>
          <w:sz w:val="20"/>
          <w:szCs w:val="20"/>
        </w:rPr>
        <w:t xml:space="preserve"> tract.</w:t>
      </w:r>
      <w:r w:rsidR="002D31AF">
        <w:rPr>
          <w:rFonts w:ascii="Segoe UI" w:eastAsia="Times New Roman" w:hAnsi="Segoe UI" w:cs="Segoe UI"/>
          <w:color w:val="000000"/>
          <w:sz w:val="20"/>
          <w:szCs w:val="20"/>
        </w:rPr>
        <w:t xml:space="preserve"> This attribute depends on the concentration of the drug, the mode of administration, and the absorption process.</w:t>
      </w:r>
    </w:p>
    <w:p w14:paraId="5E30D1C8" w14:textId="11ECDD2C" w:rsidR="00E809C1" w:rsidRDefault="00E809C1" w:rsidP="00A92D07">
      <w:pPr>
        <w:rPr>
          <w:rFonts w:ascii="Segoe UI" w:eastAsia="Times New Roman" w:hAnsi="Segoe UI" w:cs="Segoe UI"/>
          <w:color w:val="000000"/>
          <w:sz w:val="20"/>
          <w:szCs w:val="20"/>
        </w:rPr>
      </w:pPr>
    </w:p>
    <w:p w14:paraId="46ED8998" w14:textId="48AFC0D1" w:rsidR="00E809C1" w:rsidRPr="00A92D07" w:rsidRDefault="00E809C1" w:rsidP="00A92D07">
      <w:pPr>
        <w:rPr>
          <w:rFonts w:ascii="Segoe UI" w:eastAsia="Times New Roman" w:hAnsi="Segoe UI" w:cs="Segoe UI"/>
          <w:color w:val="000000"/>
        </w:rPr>
      </w:pPr>
      <w:r>
        <w:rPr>
          <w:rFonts w:ascii="Segoe UI" w:eastAsia="Times New Roman" w:hAnsi="Segoe UI" w:cs="Segoe UI"/>
          <w:color w:val="000000"/>
          <w:sz w:val="20"/>
          <w:szCs w:val="20"/>
        </w:rPr>
        <w:t>Addictiveness …</w:t>
      </w:r>
    </w:p>
    <w:p w14:paraId="4E9DC40B" w14:textId="77777777" w:rsidR="00A92D07" w:rsidRPr="00A92D07" w:rsidRDefault="00A92D07" w:rsidP="00A92D07">
      <w:pPr>
        <w:rPr>
          <w:rFonts w:ascii="Segoe UI" w:eastAsia="Times New Roman" w:hAnsi="Segoe UI" w:cs="Segoe UI"/>
          <w:color w:val="000000"/>
        </w:rPr>
      </w:pPr>
    </w:p>
    <w:p w14:paraId="1576B1E4"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Addictiveness of a drug</w:t>
      </w:r>
    </w:p>
    <w:p w14:paraId="05932DC8"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Definition: An attribute of a drug that is a disposition of that drug to cause addiction to it in a population of users when ingested using a mode of administration within a range of received doses.</w:t>
      </w:r>
    </w:p>
    <w:p w14:paraId="7A4FFCBD" w14:textId="58F7EB24" w:rsidR="00A92D07" w:rsidRDefault="00A92D07" w:rsidP="00A92D07">
      <w:pPr>
        <w:rPr>
          <w:rFonts w:ascii="Segoe UI" w:eastAsia="Times New Roman" w:hAnsi="Segoe UI" w:cs="Segoe UI"/>
          <w:color w:val="000000"/>
          <w:sz w:val="20"/>
          <w:szCs w:val="20"/>
        </w:rPr>
      </w:pPr>
      <w:r w:rsidRPr="00A92D07">
        <w:rPr>
          <w:rFonts w:ascii="Segoe UI" w:eastAsia="Times New Roman" w:hAnsi="Segoe UI" w:cs="Segoe UI"/>
          <w:color w:val="000000"/>
          <w:sz w:val="20"/>
          <w:szCs w:val="20"/>
        </w:rPr>
        <w:t xml:space="preserve">Comment: This is a quantitative entity that derives from the proportion of the population </w:t>
      </w:r>
      <w:r w:rsidR="00E84AA4">
        <w:rPr>
          <w:rFonts w:ascii="Segoe UI" w:eastAsia="Times New Roman" w:hAnsi="Segoe UI" w:cs="Segoe UI"/>
          <w:color w:val="000000"/>
          <w:sz w:val="20"/>
          <w:szCs w:val="20"/>
        </w:rPr>
        <w:t xml:space="preserve">of users </w:t>
      </w:r>
      <w:r w:rsidRPr="00A92D07">
        <w:rPr>
          <w:rFonts w:ascii="Segoe UI" w:eastAsia="Times New Roman" w:hAnsi="Segoe UI" w:cs="Segoe UI"/>
          <w:color w:val="000000"/>
          <w:sz w:val="20"/>
          <w:szCs w:val="20"/>
        </w:rPr>
        <w:t xml:space="preserve">who become addicted and the level of addiction in those who become addicted. </w:t>
      </w:r>
      <w:r w:rsidR="00E809C1">
        <w:rPr>
          <w:rFonts w:ascii="Segoe UI" w:eastAsia="Times New Roman" w:hAnsi="Segoe UI" w:cs="Segoe UI"/>
          <w:color w:val="000000"/>
          <w:sz w:val="20"/>
          <w:szCs w:val="20"/>
        </w:rPr>
        <w:t xml:space="preserve">Inherently this is a not meaningful as </w:t>
      </w:r>
      <w:proofErr w:type="spellStart"/>
      <w:r w:rsidR="00E809C1">
        <w:rPr>
          <w:rFonts w:ascii="Segoe UI" w:eastAsia="Times New Roman" w:hAnsi="Segoe UI" w:cs="Segoe UI"/>
          <w:color w:val="000000"/>
          <w:sz w:val="20"/>
          <w:szCs w:val="20"/>
        </w:rPr>
        <w:t>addictiveness</w:t>
      </w:r>
      <w:r w:rsidRPr="00A92D07">
        <w:rPr>
          <w:rFonts w:ascii="Segoe UI" w:eastAsia="Times New Roman" w:hAnsi="Segoe UI" w:cs="Segoe UI"/>
          <w:color w:val="000000"/>
          <w:sz w:val="20"/>
          <w:szCs w:val="20"/>
        </w:rPr>
        <w:t>To</w:t>
      </w:r>
      <w:proofErr w:type="spellEnd"/>
      <w:r w:rsidRPr="00A92D07">
        <w:rPr>
          <w:rFonts w:ascii="Segoe UI" w:eastAsia="Times New Roman" w:hAnsi="Segoe UI" w:cs="Segoe UI"/>
          <w:color w:val="000000"/>
          <w:sz w:val="20"/>
          <w:szCs w:val="20"/>
        </w:rPr>
        <w:t xml:space="preserve"> be meaningful the precise nature of this derivation needs to be specified.</w:t>
      </w:r>
    </w:p>
    <w:p w14:paraId="553627D6" w14:textId="19A32067" w:rsidR="00E84AA4" w:rsidRDefault="00E84AA4" w:rsidP="00A92D07">
      <w:pPr>
        <w:rPr>
          <w:rFonts w:ascii="Segoe UI" w:eastAsia="Times New Roman" w:hAnsi="Segoe UI" w:cs="Segoe UI"/>
          <w:color w:val="000000"/>
          <w:sz w:val="20"/>
          <w:szCs w:val="20"/>
        </w:rPr>
      </w:pPr>
    </w:p>
    <w:p w14:paraId="221EC9DD" w14:textId="7530E4BE" w:rsidR="00E84AA4" w:rsidRDefault="00E84AA4" w:rsidP="00A92D07">
      <w:pPr>
        <w:rPr>
          <w:rFonts w:ascii="Segoe UI" w:eastAsia="Times New Roman" w:hAnsi="Segoe UI" w:cs="Segoe UI"/>
          <w:color w:val="000000"/>
          <w:sz w:val="20"/>
          <w:szCs w:val="20"/>
        </w:rPr>
      </w:pPr>
      <w:r>
        <w:rPr>
          <w:rFonts w:ascii="Segoe UI" w:eastAsia="Times New Roman" w:hAnsi="Segoe UI" w:cs="Segoe UI"/>
          <w:color w:val="000000"/>
          <w:sz w:val="20"/>
          <w:szCs w:val="20"/>
        </w:rPr>
        <w:t>Addictiveness of a product</w:t>
      </w:r>
    </w:p>
    <w:p w14:paraId="6FC44AFA" w14:textId="587D3FB2" w:rsidR="00E809C1" w:rsidRDefault="00E809C1" w:rsidP="00A92D07">
      <w:pPr>
        <w:rPr>
          <w:rFonts w:ascii="Segoe UI" w:eastAsia="Times New Roman" w:hAnsi="Segoe UI" w:cs="Segoe UI"/>
          <w:color w:val="000000"/>
          <w:sz w:val="20"/>
          <w:szCs w:val="20"/>
        </w:rPr>
      </w:pPr>
    </w:p>
    <w:p w14:paraId="580178A3" w14:textId="5664B255" w:rsidR="00E809C1" w:rsidRPr="00A92D07" w:rsidRDefault="00E809C1" w:rsidP="00A92D07">
      <w:pPr>
        <w:rPr>
          <w:rFonts w:ascii="Segoe UI" w:eastAsia="Times New Roman" w:hAnsi="Segoe UI" w:cs="Segoe UI"/>
          <w:color w:val="000000"/>
        </w:rPr>
      </w:pPr>
      <w:r>
        <w:rPr>
          <w:rFonts w:ascii="Segoe UI" w:eastAsia="Times New Roman" w:hAnsi="Segoe UI" w:cs="Segoe UI"/>
          <w:color w:val="000000"/>
          <w:sz w:val="20"/>
          <w:szCs w:val="20"/>
        </w:rPr>
        <w:t>Addictiveness of a drug preparation</w:t>
      </w:r>
    </w:p>
    <w:p w14:paraId="699FC981" w14:textId="77777777" w:rsidR="00A92D07" w:rsidRPr="00A92D07" w:rsidRDefault="00A92D07" w:rsidP="00A92D07">
      <w:pPr>
        <w:rPr>
          <w:rFonts w:ascii="Segoe UI" w:eastAsia="Times New Roman" w:hAnsi="Segoe UI" w:cs="Segoe UI"/>
          <w:color w:val="000000"/>
        </w:rPr>
      </w:pPr>
    </w:p>
    <w:p w14:paraId="32025AF7"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Addictiveness of a behaviour</w:t>
      </w:r>
    </w:p>
    <w:p w14:paraId="1F688E4C"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Definition: A process attribute of a behaviour that is the disposition of that behaviour to cause addiction to the behaviour in a population.</w:t>
      </w:r>
    </w:p>
    <w:p w14:paraId="0927C7EA"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 xml:space="preserve">Comment: This is a quantitative entity that derives from the proportion of the population who become addicted and the level of addiction in those who become addicted. To be meaningful the precise nature </w:t>
      </w:r>
      <w:proofErr w:type="gramStart"/>
      <w:r w:rsidRPr="00A92D07">
        <w:rPr>
          <w:rFonts w:ascii="Segoe UI" w:eastAsia="Times New Roman" w:hAnsi="Segoe UI" w:cs="Segoe UI"/>
          <w:color w:val="000000"/>
          <w:sz w:val="20"/>
          <w:szCs w:val="20"/>
        </w:rPr>
        <w:t>of  this</w:t>
      </w:r>
      <w:proofErr w:type="gramEnd"/>
      <w:r w:rsidRPr="00A92D07">
        <w:rPr>
          <w:rFonts w:ascii="Segoe UI" w:eastAsia="Times New Roman" w:hAnsi="Segoe UI" w:cs="Segoe UI"/>
          <w:color w:val="000000"/>
          <w:sz w:val="20"/>
          <w:szCs w:val="20"/>
        </w:rPr>
        <w:t xml:space="preserve"> derivation needs to be specified. This includes any behaviour including drug-ingestion behaviour, so it does not just apply to what have been termed 'behavioural addictions' such as gambling.</w:t>
      </w:r>
    </w:p>
    <w:p w14:paraId="562D085D" w14:textId="77777777" w:rsidR="00A92D07" w:rsidRPr="00A92D07" w:rsidRDefault="00A92D07" w:rsidP="00A92D07">
      <w:pPr>
        <w:rPr>
          <w:rFonts w:ascii="Segoe UI" w:eastAsia="Times New Roman" w:hAnsi="Segoe UI" w:cs="Segoe UI"/>
          <w:color w:val="000000"/>
        </w:rPr>
      </w:pPr>
      <w:r w:rsidRPr="00A92D07">
        <w:rPr>
          <w:rFonts w:ascii="Segoe UI" w:eastAsia="Times New Roman" w:hAnsi="Segoe UI" w:cs="Segoe UI"/>
          <w:color w:val="000000"/>
          <w:sz w:val="20"/>
          <w:szCs w:val="20"/>
        </w:rPr>
        <w:t>Examples: Heroin injection is highly addictive in that a high proportion of people who inject heroin become highly addicted. Alcohol consumption is highly addictive in that while only a small proportion of people who consume alcohol become addicted, the level of addiction in these people is high.</w:t>
      </w:r>
    </w:p>
    <w:p w14:paraId="18A6C602" w14:textId="77777777" w:rsidR="007E7E92" w:rsidRDefault="00834D00"/>
    <w:sectPr w:rsidR="007E7E92" w:rsidSect="000C14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07"/>
    <w:rsid w:val="00023C00"/>
    <w:rsid w:val="000C1494"/>
    <w:rsid w:val="000E19A6"/>
    <w:rsid w:val="000F6C8D"/>
    <w:rsid w:val="00101725"/>
    <w:rsid w:val="00127772"/>
    <w:rsid w:val="00204CE5"/>
    <w:rsid w:val="002B7918"/>
    <w:rsid w:val="002D31AF"/>
    <w:rsid w:val="002D6820"/>
    <w:rsid w:val="00310CB2"/>
    <w:rsid w:val="00352838"/>
    <w:rsid w:val="004F1742"/>
    <w:rsid w:val="0054058C"/>
    <w:rsid w:val="0056588D"/>
    <w:rsid w:val="005D4B44"/>
    <w:rsid w:val="00645FEB"/>
    <w:rsid w:val="006E122A"/>
    <w:rsid w:val="007A0AFA"/>
    <w:rsid w:val="008048AF"/>
    <w:rsid w:val="0082183C"/>
    <w:rsid w:val="00834D00"/>
    <w:rsid w:val="0084292C"/>
    <w:rsid w:val="008C32DF"/>
    <w:rsid w:val="00945D3B"/>
    <w:rsid w:val="009A3D5E"/>
    <w:rsid w:val="00A32F28"/>
    <w:rsid w:val="00A72A3F"/>
    <w:rsid w:val="00A9181C"/>
    <w:rsid w:val="00A92D07"/>
    <w:rsid w:val="00AB71AE"/>
    <w:rsid w:val="00B003FE"/>
    <w:rsid w:val="00B94EFF"/>
    <w:rsid w:val="00BE23E3"/>
    <w:rsid w:val="00C659FB"/>
    <w:rsid w:val="00C75AB6"/>
    <w:rsid w:val="00CE3AF1"/>
    <w:rsid w:val="00DF0FC7"/>
    <w:rsid w:val="00E809C1"/>
    <w:rsid w:val="00E84AA4"/>
    <w:rsid w:val="00EC2E11"/>
    <w:rsid w:val="00F31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A5C3"/>
  <w15:chartTrackingRefBased/>
  <w15:docId w15:val="{5E60A986-8A37-524C-BF8E-94DDA4F0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47091">
      <w:bodyDiv w:val="1"/>
      <w:marLeft w:val="0"/>
      <w:marRight w:val="0"/>
      <w:marTop w:val="0"/>
      <w:marBottom w:val="0"/>
      <w:divBdr>
        <w:top w:val="none" w:sz="0" w:space="0" w:color="auto"/>
        <w:left w:val="none" w:sz="0" w:space="0" w:color="auto"/>
        <w:bottom w:val="none" w:sz="0" w:space="0" w:color="auto"/>
        <w:right w:val="none" w:sz="0" w:space="0" w:color="auto"/>
      </w:divBdr>
      <w:divsChild>
        <w:div w:id="1278294619">
          <w:marLeft w:val="0"/>
          <w:marRight w:val="0"/>
          <w:marTop w:val="0"/>
          <w:marBottom w:val="0"/>
          <w:divBdr>
            <w:top w:val="none" w:sz="0" w:space="0" w:color="auto"/>
            <w:left w:val="none" w:sz="0" w:space="0" w:color="auto"/>
            <w:bottom w:val="none" w:sz="0" w:space="0" w:color="auto"/>
            <w:right w:val="none" w:sz="0" w:space="0" w:color="auto"/>
          </w:divBdr>
        </w:div>
        <w:div w:id="1328246641">
          <w:marLeft w:val="0"/>
          <w:marRight w:val="0"/>
          <w:marTop w:val="0"/>
          <w:marBottom w:val="0"/>
          <w:divBdr>
            <w:top w:val="none" w:sz="0" w:space="0" w:color="auto"/>
            <w:left w:val="none" w:sz="0" w:space="0" w:color="auto"/>
            <w:bottom w:val="none" w:sz="0" w:space="0" w:color="auto"/>
            <w:right w:val="none" w:sz="0" w:space="0" w:color="auto"/>
          </w:divBdr>
        </w:div>
        <w:div w:id="1596399465">
          <w:marLeft w:val="0"/>
          <w:marRight w:val="0"/>
          <w:marTop w:val="0"/>
          <w:marBottom w:val="0"/>
          <w:divBdr>
            <w:top w:val="none" w:sz="0" w:space="0" w:color="auto"/>
            <w:left w:val="none" w:sz="0" w:space="0" w:color="auto"/>
            <w:bottom w:val="none" w:sz="0" w:space="0" w:color="auto"/>
            <w:right w:val="none" w:sz="0" w:space="0" w:color="auto"/>
          </w:divBdr>
        </w:div>
        <w:div w:id="431167185">
          <w:marLeft w:val="0"/>
          <w:marRight w:val="0"/>
          <w:marTop w:val="0"/>
          <w:marBottom w:val="0"/>
          <w:divBdr>
            <w:top w:val="none" w:sz="0" w:space="0" w:color="auto"/>
            <w:left w:val="none" w:sz="0" w:space="0" w:color="auto"/>
            <w:bottom w:val="none" w:sz="0" w:space="0" w:color="auto"/>
            <w:right w:val="none" w:sz="0" w:space="0" w:color="auto"/>
          </w:divBdr>
        </w:div>
        <w:div w:id="1827668194">
          <w:marLeft w:val="0"/>
          <w:marRight w:val="0"/>
          <w:marTop w:val="0"/>
          <w:marBottom w:val="0"/>
          <w:divBdr>
            <w:top w:val="none" w:sz="0" w:space="0" w:color="auto"/>
            <w:left w:val="none" w:sz="0" w:space="0" w:color="auto"/>
            <w:bottom w:val="none" w:sz="0" w:space="0" w:color="auto"/>
            <w:right w:val="none" w:sz="0" w:space="0" w:color="auto"/>
          </w:divBdr>
        </w:div>
        <w:div w:id="1877889536">
          <w:marLeft w:val="0"/>
          <w:marRight w:val="0"/>
          <w:marTop w:val="0"/>
          <w:marBottom w:val="0"/>
          <w:divBdr>
            <w:top w:val="none" w:sz="0" w:space="0" w:color="auto"/>
            <w:left w:val="none" w:sz="0" w:space="0" w:color="auto"/>
            <w:bottom w:val="none" w:sz="0" w:space="0" w:color="auto"/>
            <w:right w:val="none" w:sz="0" w:space="0" w:color="auto"/>
          </w:divBdr>
        </w:div>
        <w:div w:id="2082287715">
          <w:marLeft w:val="0"/>
          <w:marRight w:val="0"/>
          <w:marTop w:val="0"/>
          <w:marBottom w:val="0"/>
          <w:divBdr>
            <w:top w:val="none" w:sz="0" w:space="0" w:color="auto"/>
            <w:left w:val="none" w:sz="0" w:space="0" w:color="auto"/>
            <w:bottom w:val="none" w:sz="0" w:space="0" w:color="auto"/>
            <w:right w:val="none" w:sz="0" w:space="0" w:color="auto"/>
          </w:divBdr>
        </w:div>
        <w:div w:id="1718312318">
          <w:marLeft w:val="0"/>
          <w:marRight w:val="0"/>
          <w:marTop w:val="0"/>
          <w:marBottom w:val="0"/>
          <w:divBdr>
            <w:top w:val="none" w:sz="0" w:space="0" w:color="auto"/>
            <w:left w:val="none" w:sz="0" w:space="0" w:color="auto"/>
            <w:bottom w:val="none" w:sz="0" w:space="0" w:color="auto"/>
            <w:right w:val="none" w:sz="0" w:space="0" w:color="auto"/>
          </w:divBdr>
        </w:div>
        <w:div w:id="1236472376">
          <w:marLeft w:val="0"/>
          <w:marRight w:val="0"/>
          <w:marTop w:val="0"/>
          <w:marBottom w:val="0"/>
          <w:divBdr>
            <w:top w:val="none" w:sz="0" w:space="0" w:color="auto"/>
            <w:left w:val="none" w:sz="0" w:space="0" w:color="auto"/>
            <w:bottom w:val="none" w:sz="0" w:space="0" w:color="auto"/>
            <w:right w:val="none" w:sz="0" w:space="0" w:color="auto"/>
          </w:divBdr>
        </w:div>
        <w:div w:id="1838183107">
          <w:marLeft w:val="0"/>
          <w:marRight w:val="0"/>
          <w:marTop w:val="0"/>
          <w:marBottom w:val="0"/>
          <w:divBdr>
            <w:top w:val="none" w:sz="0" w:space="0" w:color="auto"/>
            <w:left w:val="none" w:sz="0" w:space="0" w:color="auto"/>
            <w:bottom w:val="none" w:sz="0" w:space="0" w:color="auto"/>
            <w:right w:val="none" w:sz="0" w:space="0" w:color="auto"/>
          </w:divBdr>
        </w:div>
        <w:div w:id="1309826899">
          <w:marLeft w:val="0"/>
          <w:marRight w:val="0"/>
          <w:marTop w:val="0"/>
          <w:marBottom w:val="0"/>
          <w:divBdr>
            <w:top w:val="none" w:sz="0" w:space="0" w:color="auto"/>
            <w:left w:val="none" w:sz="0" w:space="0" w:color="auto"/>
            <w:bottom w:val="none" w:sz="0" w:space="0" w:color="auto"/>
            <w:right w:val="none" w:sz="0" w:space="0" w:color="auto"/>
          </w:divBdr>
        </w:div>
        <w:div w:id="465439905">
          <w:marLeft w:val="0"/>
          <w:marRight w:val="0"/>
          <w:marTop w:val="0"/>
          <w:marBottom w:val="0"/>
          <w:divBdr>
            <w:top w:val="none" w:sz="0" w:space="0" w:color="auto"/>
            <w:left w:val="none" w:sz="0" w:space="0" w:color="auto"/>
            <w:bottom w:val="none" w:sz="0" w:space="0" w:color="auto"/>
            <w:right w:val="none" w:sz="0" w:space="0" w:color="auto"/>
          </w:divBdr>
        </w:div>
        <w:div w:id="438960834">
          <w:marLeft w:val="0"/>
          <w:marRight w:val="0"/>
          <w:marTop w:val="0"/>
          <w:marBottom w:val="0"/>
          <w:divBdr>
            <w:top w:val="none" w:sz="0" w:space="0" w:color="auto"/>
            <w:left w:val="none" w:sz="0" w:space="0" w:color="auto"/>
            <w:bottom w:val="none" w:sz="0" w:space="0" w:color="auto"/>
            <w:right w:val="none" w:sz="0" w:space="0" w:color="auto"/>
          </w:divBdr>
        </w:div>
        <w:div w:id="1227956616">
          <w:marLeft w:val="0"/>
          <w:marRight w:val="0"/>
          <w:marTop w:val="0"/>
          <w:marBottom w:val="0"/>
          <w:divBdr>
            <w:top w:val="none" w:sz="0" w:space="0" w:color="auto"/>
            <w:left w:val="none" w:sz="0" w:space="0" w:color="auto"/>
            <w:bottom w:val="none" w:sz="0" w:space="0" w:color="auto"/>
            <w:right w:val="none" w:sz="0" w:space="0" w:color="auto"/>
          </w:divBdr>
        </w:div>
        <w:div w:id="2000501440">
          <w:marLeft w:val="0"/>
          <w:marRight w:val="0"/>
          <w:marTop w:val="0"/>
          <w:marBottom w:val="0"/>
          <w:divBdr>
            <w:top w:val="none" w:sz="0" w:space="0" w:color="auto"/>
            <w:left w:val="none" w:sz="0" w:space="0" w:color="auto"/>
            <w:bottom w:val="none" w:sz="0" w:space="0" w:color="auto"/>
            <w:right w:val="none" w:sz="0" w:space="0" w:color="auto"/>
          </w:divBdr>
        </w:div>
        <w:div w:id="1652177385">
          <w:marLeft w:val="0"/>
          <w:marRight w:val="0"/>
          <w:marTop w:val="0"/>
          <w:marBottom w:val="0"/>
          <w:divBdr>
            <w:top w:val="none" w:sz="0" w:space="0" w:color="auto"/>
            <w:left w:val="none" w:sz="0" w:space="0" w:color="auto"/>
            <w:bottom w:val="none" w:sz="0" w:space="0" w:color="auto"/>
            <w:right w:val="none" w:sz="0" w:space="0" w:color="auto"/>
          </w:divBdr>
        </w:div>
        <w:div w:id="871190292">
          <w:marLeft w:val="0"/>
          <w:marRight w:val="0"/>
          <w:marTop w:val="0"/>
          <w:marBottom w:val="0"/>
          <w:divBdr>
            <w:top w:val="none" w:sz="0" w:space="0" w:color="auto"/>
            <w:left w:val="none" w:sz="0" w:space="0" w:color="auto"/>
            <w:bottom w:val="none" w:sz="0" w:space="0" w:color="auto"/>
            <w:right w:val="none" w:sz="0" w:space="0" w:color="auto"/>
          </w:divBdr>
        </w:div>
        <w:div w:id="1085608169">
          <w:marLeft w:val="0"/>
          <w:marRight w:val="0"/>
          <w:marTop w:val="0"/>
          <w:marBottom w:val="0"/>
          <w:divBdr>
            <w:top w:val="none" w:sz="0" w:space="0" w:color="auto"/>
            <w:left w:val="none" w:sz="0" w:space="0" w:color="auto"/>
            <w:bottom w:val="none" w:sz="0" w:space="0" w:color="auto"/>
            <w:right w:val="none" w:sz="0" w:space="0" w:color="auto"/>
          </w:divBdr>
        </w:div>
        <w:div w:id="1200358912">
          <w:marLeft w:val="0"/>
          <w:marRight w:val="0"/>
          <w:marTop w:val="0"/>
          <w:marBottom w:val="0"/>
          <w:divBdr>
            <w:top w:val="none" w:sz="0" w:space="0" w:color="auto"/>
            <w:left w:val="none" w:sz="0" w:space="0" w:color="auto"/>
            <w:bottom w:val="none" w:sz="0" w:space="0" w:color="auto"/>
            <w:right w:val="none" w:sz="0" w:space="0" w:color="auto"/>
          </w:divBdr>
        </w:div>
        <w:div w:id="106417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Cox</dc:creator>
  <cp:keywords/>
  <dc:description/>
  <cp:lastModifiedBy>Robert West</cp:lastModifiedBy>
  <cp:revision>2</cp:revision>
  <dcterms:created xsi:type="dcterms:W3CDTF">2020-07-02T15:09:00Z</dcterms:created>
  <dcterms:modified xsi:type="dcterms:W3CDTF">2020-07-02T15:09:00Z</dcterms:modified>
</cp:coreProperties>
</file>