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B3729" w14:textId="0E22FF10" w:rsidR="00894145" w:rsidRDefault="00ED25F8" w:rsidP="00C32DFC">
      <w:pPr>
        <w:rPr>
          <w:sz w:val="22"/>
          <w:szCs w:val="22"/>
        </w:rPr>
      </w:pPr>
      <w:r w:rsidRPr="00625243">
        <w:rPr>
          <w:sz w:val="22"/>
          <w:szCs w:val="22"/>
        </w:rPr>
        <w:t>Mihir Samdarshi</w:t>
      </w:r>
    </w:p>
    <w:p w14:paraId="6F9FB218" w14:textId="6F12B1CC" w:rsidR="00806B1D" w:rsidRPr="00625243" w:rsidRDefault="00806B1D" w:rsidP="00C32DFC">
      <w:pPr>
        <w:rPr>
          <w:sz w:val="22"/>
          <w:szCs w:val="22"/>
        </w:rPr>
      </w:pPr>
      <w:r>
        <w:rPr>
          <w:sz w:val="22"/>
          <w:szCs w:val="22"/>
        </w:rPr>
        <w:t>January 25, 2019</w:t>
      </w:r>
    </w:p>
    <w:p w14:paraId="040ABEA9" w14:textId="168A86A6" w:rsidR="00ED25F8" w:rsidRPr="00625243" w:rsidRDefault="00ED25F8" w:rsidP="00C32DFC">
      <w:pPr>
        <w:rPr>
          <w:sz w:val="22"/>
          <w:szCs w:val="22"/>
        </w:rPr>
      </w:pPr>
      <w:r w:rsidRPr="00625243">
        <w:rPr>
          <w:sz w:val="22"/>
          <w:szCs w:val="22"/>
        </w:rPr>
        <w:t>BIOL 588 – Advanced Systems Biology Research</w:t>
      </w:r>
    </w:p>
    <w:p w14:paraId="6D95ED40" w14:textId="77777777" w:rsidR="00C32DFC" w:rsidRDefault="00C32DFC" w:rsidP="00C32DFC">
      <w:pPr>
        <w:jc w:val="center"/>
        <w:rPr>
          <w:b/>
          <w:sz w:val="22"/>
          <w:szCs w:val="22"/>
        </w:rPr>
      </w:pPr>
    </w:p>
    <w:p w14:paraId="2C88E18E" w14:textId="3D39CDB8" w:rsidR="00ED25F8" w:rsidRPr="00625243" w:rsidRDefault="00ED25F8" w:rsidP="00C32DFC">
      <w:pPr>
        <w:jc w:val="center"/>
        <w:rPr>
          <w:b/>
          <w:sz w:val="22"/>
          <w:szCs w:val="22"/>
        </w:rPr>
      </w:pPr>
      <w:r w:rsidRPr="00625243">
        <w:rPr>
          <w:b/>
          <w:sz w:val="22"/>
          <w:szCs w:val="22"/>
        </w:rPr>
        <w:t>Refactor</w:t>
      </w:r>
      <w:r w:rsidR="00E833EF" w:rsidRPr="00625243">
        <w:rPr>
          <w:b/>
          <w:sz w:val="22"/>
          <w:szCs w:val="22"/>
        </w:rPr>
        <w:t xml:space="preserve"> of code</w:t>
      </w:r>
      <w:r w:rsidRPr="00625243">
        <w:rPr>
          <w:b/>
          <w:sz w:val="22"/>
          <w:szCs w:val="22"/>
        </w:rPr>
        <w:t xml:space="preserve"> to M</w:t>
      </w:r>
      <w:r w:rsidR="00F032E0" w:rsidRPr="00625243">
        <w:rPr>
          <w:b/>
          <w:sz w:val="22"/>
          <w:szCs w:val="22"/>
        </w:rPr>
        <w:t>odel-View-</w:t>
      </w:r>
      <w:r w:rsidRPr="00625243">
        <w:rPr>
          <w:b/>
          <w:sz w:val="22"/>
          <w:szCs w:val="22"/>
        </w:rPr>
        <w:t>C</w:t>
      </w:r>
      <w:r w:rsidR="00F032E0" w:rsidRPr="00625243">
        <w:rPr>
          <w:b/>
          <w:sz w:val="22"/>
          <w:szCs w:val="22"/>
        </w:rPr>
        <w:t>ontroller</w:t>
      </w:r>
      <w:r w:rsidRPr="00625243">
        <w:rPr>
          <w:b/>
          <w:sz w:val="22"/>
          <w:szCs w:val="22"/>
        </w:rPr>
        <w:t xml:space="preserve"> paradigm </w:t>
      </w:r>
      <w:r w:rsidR="00E833EF" w:rsidRPr="00625243">
        <w:rPr>
          <w:b/>
          <w:sz w:val="22"/>
          <w:szCs w:val="22"/>
        </w:rPr>
        <w:t>improves</w:t>
      </w:r>
      <w:r w:rsidRPr="00625243">
        <w:rPr>
          <w:sz w:val="22"/>
          <w:szCs w:val="22"/>
        </w:rPr>
        <w:t xml:space="preserve"> </w:t>
      </w:r>
      <w:r w:rsidRPr="00625243">
        <w:rPr>
          <w:b/>
          <w:sz w:val="22"/>
          <w:szCs w:val="22"/>
        </w:rPr>
        <w:t>GRNsight: a web application and service for visualizing small- to medium-scale gene regulatory networks</w:t>
      </w:r>
    </w:p>
    <w:p w14:paraId="5DF5D4F2" w14:textId="77777777" w:rsidR="009A2054" w:rsidRDefault="009A2054" w:rsidP="00C32DFC">
      <w:pPr>
        <w:jc w:val="center"/>
        <w:rPr>
          <w:sz w:val="22"/>
          <w:szCs w:val="22"/>
        </w:rPr>
      </w:pPr>
    </w:p>
    <w:p w14:paraId="1BBBBC6E" w14:textId="668380EC" w:rsidR="00F02042" w:rsidRPr="009A2054" w:rsidRDefault="00ED25F8" w:rsidP="00C32DFC">
      <w:pPr>
        <w:jc w:val="center"/>
        <w:rPr>
          <w:sz w:val="22"/>
          <w:szCs w:val="22"/>
          <w:u w:val="single"/>
        </w:rPr>
      </w:pPr>
      <w:r w:rsidRPr="009A2054">
        <w:rPr>
          <w:sz w:val="22"/>
          <w:szCs w:val="22"/>
          <w:u w:val="single"/>
        </w:rPr>
        <w:t>Annotated Bibliography</w:t>
      </w:r>
    </w:p>
    <w:p w14:paraId="27B7475F" w14:textId="77777777" w:rsidR="00C32DFC" w:rsidRDefault="00C32DFC" w:rsidP="00C32DFC">
      <w:pPr>
        <w:ind w:left="720" w:hanging="720"/>
        <w:rPr>
          <w:color w:val="222222"/>
          <w:sz w:val="22"/>
          <w:szCs w:val="22"/>
          <w:shd w:val="clear" w:color="auto" w:fill="FFFFFF"/>
        </w:rPr>
      </w:pPr>
    </w:p>
    <w:p w14:paraId="784C7186" w14:textId="18203C55" w:rsidR="00612DF2" w:rsidRDefault="00612DF2" w:rsidP="00C32DFC">
      <w:pPr>
        <w:ind w:left="720" w:hanging="720"/>
        <w:rPr>
          <w:color w:val="222222"/>
          <w:sz w:val="22"/>
          <w:szCs w:val="22"/>
          <w:shd w:val="clear" w:color="auto" w:fill="FFFFFF"/>
        </w:rPr>
      </w:pPr>
      <w:r w:rsidRPr="00625243">
        <w:rPr>
          <w:color w:val="222222"/>
          <w:sz w:val="22"/>
          <w:szCs w:val="22"/>
          <w:shd w:val="clear" w:color="auto" w:fill="FFFFFF"/>
        </w:rPr>
        <w:t>Bastian, M., Heymann, S., &amp; Jacomy, M. (2009). Gephi: an open source software for exploring and manipulating networks.</w:t>
      </w:r>
      <w:r w:rsidRPr="00625243">
        <w:rPr>
          <w:rStyle w:val="apple-converted-space"/>
          <w:color w:val="222222"/>
          <w:sz w:val="22"/>
          <w:szCs w:val="22"/>
          <w:shd w:val="clear" w:color="auto" w:fill="FFFFFF"/>
        </w:rPr>
        <w:t> </w:t>
      </w:r>
      <w:r w:rsidRPr="00625243">
        <w:rPr>
          <w:i/>
          <w:iCs/>
          <w:color w:val="222222"/>
          <w:sz w:val="22"/>
          <w:szCs w:val="22"/>
        </w:rPr>
        <w:t>Icwsm</w:t>
      </w:r>
      <w:r w:rsidRPr="00625243">
        <w:rPr>
          <w:color w:val="222222"/>
          <w:sz w:val="22"/>
          <w:szCs w:val="22"/>
          <w:shd w:val="clear" w:color="auto" w:fill="FFFFFF"/>
        </w:rPr>
        <w:t>,</w:t>
      </w:r>
      <w:r w:rsidRPr="00625243">
        <w:rPr>
          <w:rStyle w:val="apple-converted-space"/>
          <w:color w:val="222222"/>
          <w:sz w:val="22"/>
          <w:szCs w:val="22"/>
          <w:shd w:val="clear" w:color="auto" w:fill="FFFFFF"/>
        </w:rPr>
        <w:t> </w:t>
      </w:r>
      <w:r w:rsidRPr="00625243">
        <w:rPr>
          <w:i/>
          <w:iCs/>
          <w:color w:val="222222"/>
          <w:sz w:val="22"/>
          <w:szCs w:val="22"/>
        </w:rPr>
        <w:t>8</w:t>
      </w:r>
      <w:r w:rsidRPr="00625243">
        <w:rPr>
          <w:color w:val="222222"/>
          <w:sz w:val="22"/>
          <w:szCs w:val="22"/>
          <w:shd w:val="clear" w:color="auto" w:fill="FFFFFF"/>
        </w:rPr>
        <w:t>(2009), 361-362.</w:t>
      </w:r>
    </w:p>
    <w:p w14:paraId="3061199C" w14:textId="77777777" w:rsidR="00C32DFC" w:rsidRDefault="00C32DFC" w:rsidP="00C32DFC">
      <w:pPr>
        <w:ind w:left="720" w:hanging="720"/>
        <w:rPr>
          <w:color w:val="222222"/>
          <w:sz w:val="22"/>
          <w:szCs w:val="22"/>
          <w:shd w:val="clear" w:color="auto" w:fill="FFFFFF"/>
        </w:rPr>
      </w:pPr>
    </w:p>
    <w:p w14:paraId="15BCF991" w14:textId="267BEDAD" w:rsidR="00F37D26" w:rsidRDefault="00F64DDD" w:rsidP="00C32DFC">
      <w:pPr>
        <w:ind w:left="720"/>
        <w:rPr>
          <w:color w:val="222222"/>
          <w:sz w:val="22"/>
          <w:szCs w:val="22"/>
          <w:shd w:val="clear" w:color="auto" w:fill="FFFFFF"/>
        </w:rPr>
      </w:pPr>
      <w:r>
        <w:rPr>
          <w:color w:val="222222"/>
          <w:sz w:val="22"/>
          <w:szCs w:val="22"/>
          <w:shd w:val="clear" w:color="auto" w:fill="FFFFFF"/>
        </w:rPr>
        <w:t>Gephi is a commonly used software for easy visualization and manipulation of networks. Many of the features of GRNsight are similar in nature to that of Gephi’s</w:t>
      </w:r>
      <w:r w:rsidR="00F37D26">
        <w:rPr>
          <w:color w:val="222222"/>
          <w:sz w:val="22"/>
          <w:szCs w:val="22"/>
          <w:shd w:val="clear" w:color="auto" w:fill="FFFFFF"/>
        </w:rPr>
        <w:t>. Gephi can be considered a “competitor” to GRNsight, however it can be referred to as primarily being targeted to large graphs, as is mentioned in the paper.</w:t>
      </w:r>
      <w:r w:rsidR="009B076F">
        <w:rPr>
          <w:color w:val="222222"/>
          <w:sz w:val="22"/>
          <w:szCs w:val="22"/>
          <w:shd w:val="clear" w:color="auto" w:fill="FFFFFF"/>
        </w:rPr>
        <w:t xml:space="preserve"> One of the main file formats for importing data into GRNsight is GraphML</w:t>
      </w:r>
      <w:r w:rsidR="002525BB">
        <w:rPr>
          <w:color w:val="222222"/>
          <w:sz w:val="22"/>
          <w:szCs w:val="22"/>
          <w:shd w:val="clear" w:color="auto" w:fill="FFFFFF"/>
        </w:rPr>
        <w:t xml:space="preserve"> added because of the commonality with Gephi.</w:t>
      </w:r>
    </w:p>
    <w:p w14:paraId="7EF56408" w14:textId="07B0691C" w:rsidR="00F64DDD" w:rsidRDefault="00F37D26" w:rsidP="00C32DFC">
      <w:pPr>
        <w:rPr>
          <w:color w:val="222222"/>
          <w:sz w:val="22"/>
          <w:szCs w:val="22"/>
          <w:shd w:val="clear" w:color="auto" w:fill="FFFFFF"/>
        </w:rPr>
      </w:pPr>
      <w:r>
        <w:rPr>
          <w:color w:val="222222"/>
          <w:sz w:val="22"/>
          <w:szCs w:val="22"/>
          <w:shd w:val="clear" w:color="auto" w:fill="FFFFFF"/>
        </w:rPr>
        <w:t xml:space="preserve"> </w:t>
      </w:r>
    </w:p>
    <w:p w14:paraId="000F8625" w14:textId="0564D1C6" w:rsidR="00902058" w:rsidRDefault="00902058" w:rsidP="00C32DFC">
      <w:pPr>
        <w:ind w:left="720" w:hanging="720"/>
        <w:rPr>
          <w:sz w:val="22"/>
          <w:szCs w:val="22"/>
        </w:rPr>
      </w:pPr>
      <w:r w:rsidRPr="00902058">
        <w:rPr>
          <w:sz w:val="22"/>
          <w:szCs w:val="22"/>
        </w:rPr>
        <w:t xml:space="preserve">Dahlquist, K. D., Fitzpatrick, B. G., Camacho, E. T., Entzminger, S. D., &amp; Wanner, N. C. (2015). Parameter estimation for gene regulatory networks from microarray data: cold shock response in Saccharomyces cerevisiae. </w:t>
      </w:r>
      <w:r w:rsidRPr="006E30BF">
        <w:rPr>
          <w:i/>
          <w:sz w:val="22"/>
          <w:szCs w:val="22"/>
        </w:rPr>
        <w:t>Bulletin of mathematical biology</w:t>
      </w:r>
      <w:r w:rsidRPr="006E30BF">
        <w:rPr>
          <w:sz w:val="22"/>
          <w:szCs w:val="22"/>
        </w:rPr>
        <w:t>,</w:t>
      </w:r>
      <w:r w:rsidRPr="00902058">
        <w:rPr>
          <w:sz w:val="22"/>
          <w:szCs w:val="22"/>
        </w:rPr>
        <w:t xml:space="preserve"> 77(8), 1457-1492.</w:t>
      </w:r>
    </w:p>
    <w:p w14:paraId="07D04D4F" w14:textId="5D3281E6" w:rsidR="00E66838" w:rsidRDefault="00E66838" w:rsidP="00C32DFC">
      <w:pPr>
        <w:ind w:left="720" w:hanging="720"/>
        <w:rPr>
          <w:sz w:val="22"/>
          <w:szCs w:val="22"/>
        </w:rPr>
      </w:pPr>
    </w:p>
    <w:p w14:paraId="75AE4937" w14:textId="4C6141B9" w:rsidR="00E66838" w:rsidRDefault="00E66838" w:rsidP="00106FF5">
      <w:pPr>
        <w:ind w:left="720"/>
        <w:rPr>
          <w:sz w:val="22"/>
          <w:szCs w:val="22"/>
        </w:rPr>
      </w:pPr>
      <w:r>
        <w:rPr>
          <w:sz w:val="22"/>
          <w:szCs w:val="22"/>
        </w:rPr>
        <w:t xml:space="preserve">GRNmap is a necessity </w:t>
      </w:r>
      <w:r w:rsidR="00BE7285">
        <w:rPr>
          <w:sz w:val="22"/>
          <w:szCs w:val="22"/>
        </w:rPr>
        <w:t>to preface</w:t>
      </w:r>
      <w:r>
        <w:rPr>
          <w:sz w:val="22"/>
          <w:szCs w:val="22"/>
        </w:rPr>
        <w:t xml:space="preserve"> </w:t>
      </w:r>
      <w:r w:rsidR="00BE7285">
        <w:rPr>
          <w:sz w:val="22"/>
          <w:szCs w:val="22"/>
        </w:rPr>
        <w:t xml:space="preserve">the </w:t>
      </w:r>
      <w:r w:rsidR="00220C51">
        <w:rPr>
          <w:sz w:val="22"/>
          <w:szCs w:val="22"/>
        </w:rPr>
        <w:t>creation of</w:t>
      </w:r>
      <w:r w:rsidR="00BE7285">
        <w:rPr>
          <w:sz w:val="22"/>
          <w:szCs w:val="22"/>
        </w:rPr>
        <w:t xml:space="preserve"> </w:t>
      </w:r>
      <w:r>
        <w:rPr>
          <w:sz w:val="22"/>
          <w:szCs w:val="22"/>
        </w:rPr>
        <w:t>GRNsigh</w:t>
      </w:r>
      <w:r w:rsidR="00BE7285">
        <w:rPr>
          <w:sz w:val="22"/>
          <w:szCs w:val="22"/>
        </w:rPr>
        <w:t xml:space="preserve">t; GRNsight was spawned to serve as a tool to visualize the data that was being produced in the difficult to interpret tabular format. </w:t>
      </w:r>
      <w:r w:rsidR="00321358">
        <w:rPr>
          <w:sz w:val="22"/>
          <w:szCs w:val="22"/>
        </w:rPr>
        <w:t>The algorithms powering GRNmap allow</w:t>
      </w:r>
      <w:r w:rsidR="004D148A">
        <w:rPr>
          <w:sz w:val="22"/>
          <w:szCs w:val="22"/>
        </w:rPr>
        <w:t>s scientists to estimate parameters of gene expression from sets of experimental data.</w:t>
      </w:r>
      <w:r w:rsidR="00321358">
        <w:rPr>
          <w:sz w:val="22"/>
          <w:szCs w:val="22"/>
        </w:rPr>
        <w:t xml:space="preserve"> </w:t>
      </w:r>
      <w:r w:rsidR="00D80BEC">
        <w:rPr>
          <w:sz w:val="22"/>
          <w:szCs w:val="22"/>
        </w:rPr>
        <w:t>The visualization provided by GRNsight allows scientists, especially those working with data derived from GRNmap to easily view and share their data with other scientists.</w:t>
      </w:r>
    </w:p>
    <w:p w14:paraId="04400042" w14:textId="77777777" w:rsidR="00E66838" w:rsidRPr="00625243" w:rsidRDefault="00E66838" w:rsidP="00C32DFC">
      <w:pPr>
        <w:ind w:left="720" w:hanging="720"/>
        <w:rPr>
          <w:sz w:val="22"/>
          <w:szCs w:val="22"/>
        </w:rPr>
      </w:pPr>
    </w:p>
    <w:p w14:paraId="3C61E022" w14:textId="06DD83BF" w:rsidR="00031563" w:rsidRDefault="00031563" w:rsidP="00C32DFC">
      <w:pPr>
        <w:ind w:left="720" w:hanging="720"/>
        <w:rPr>
          <w:color w:val="222222"/>
          <w:sz w:val="22"/>
          <w:szCs w:val="22"/>
          <w:shd w:val="clear" w:color="auto" w:fill="FFFFFF"/>
        </w:rPr>
      </w:pPr>
      <w:r w:rsidRPr="00625243">
        <w:rPr>
          <w:color w:val="222222"/>
          <w:sz w:val="22"/>
          <w:szCs w:val="22"/>
          <w:shd w:val="clear" w:color="auto" w:fill="FFFFFF"/>
        </w:rPr>
        <w:t>Franz, M., Lopes, C. T., Huck, G., Dong, Y., Sumer, O., &amp; Bader, G. D. (2015). Cytoscape.js: a graph theory library for visualisation and analysis.</w:t>
      </w:r>
      <w:r w:rsidRPr="00625243">
        <w:rPr>
          <w:rStyle w:val="apple-converted-space"/>
          <w:color w:val="222222"/>
          <w:sz w:val="22"/>
          <w:szCs w:val="22"/>
          <w:shd w:val="clear" w:color="auto" w:fill="FFFFFF"/>
        </w:rPr>
        <w:t> </w:t>
      </w:r>
      <w:r w:rsidRPr="00625243">
        <w:rPr>
          <w:i/>
          <w:iCs/>
          <w:color w:val="222222"/>
          <w:sz w:val="22"/>
          <w:szCs w:val="22"/>
        </w:rPr>
        <w:t>Bioinformatics</w:t>
      </w:r>
      <w:r w:rsidRPr="00625243">
        <w:rPr>
          <w:color w:val="222222"/>
          <w:sz w:val="22"/>
          <w:szCs w:val="22"/>
          <w:shd w:val="clear" w:color="auto" w:fill="FFFFFF"/>
        </w:rPr>
        <w:t>,</w:t>
      </w:r>
      <w:r w:rsidRPr="00625243">
        <w:rPr>
          <w:rStyle w:val="apple-converted-space"/>
          <w:color w:val="222222"/>
          <w:sz w:val="22"/>
          <w:szCs w:val="22"/>
          <w:shd w:val="clear" w:color="auto" w:fill="FFFFFF"/>
        </w:rPr>
        <w:t> </w:t>
      </w:r>
      <w:r w:rsidRPr="00625243">
        <w:rPr>
          <w:i/>
          <w:iCs/>
          <w:color w:val="222222"/>
          <w:sz w:val="22"/>
          <w:szCs w:val="22"/>
        </w:rPr>
        <w:t>32</w:t>
      </w:r>
      <w:r w:rsidRPr="00625243">
        <w:rPr>
          <w:color w:val="222222"/>
          <w:sz w:val="22"/>
          <w:szCs w:val="22"/>
          <w:shd w:val="clear" w:color="auto" w:fill="FFFFFF"/>
        </w:rPr>
        <w:t>(2), 309-311.</w:t>
      </w:r>
    </w:p>
    <w:p w14:paraId="7B13DCD2" w14:textId="440B6B76" w:rsidR="00F91CBF" w:rsidRDefault="00F91CBF" w:rsidP="00C32DFC">
      <w:pPr>
        <w:ind w:left="720" w:hanging="720"/>
        <w:rPr>
          <w:color w:val="222222"/>
          <w:sz w:val="22"/>
          <w:szCs w:val="22"/>
          <w:shd w:val="clear" w:color="auto" w:fill="FFFFFF"/>
        </w:rPr>
      </w:pPr>
    </w:p>
    <w:p w14:paraId="05265B6C" w14:textId="499940CC" w:rsidR="00F91CBF" w:rsidRDefault="00F91CBF" w:rsidP="00106FF5">
      <w:pPr>
        <w:ind w:left="720"/>
        <w:rPr>
          <w:color w:val="222222"/>
          <w:sz w:val="22"/>
          <w:szCs w:val="22"/>
          <w:shd w:val="clear" w:color="auto" w:fill="FFFFFF"/>
        </w:rPr>
      </w:pPr>
      <w:r>
        <w:rPr>
          <w:color w:val="222222"/>
          <w:sz w:val="22"/>
          <w:szCs w:val="22"/>
          <w:shd w:val="clear" w:color="auto" w:fill="FFFFFF"/>
        </w:rPr>
        <w:t>Cytoscape.js is an important JavaScript</w:t>
      </w:r>
      <w:r w:rsidR="00106FF5">
        <w:rPr>
          <w:color w:val="222222"/>
          <w:sz w:val="22"/>
          <w:szCs w:val="22"/>
          <w:shd w:val="clear" w:color="auto" w:fill="FFFFFF"/>
        </w:rPr>
        <w:t xml:space="preserve"> library that is being viewed as a candidate for potential integration into GRNsight. It allows the rendering of interactive graphs and provides the ability to carry out graph operations server-side. Although GRNsight is based on d3.js, the visualization capabilities that Cytoscape.js provides are worth mentioning </w:t>
      </w:r>
      <w:r w:rsidR="00D601BD">
        <w:rPr>
          <w:color w:val="222222"/>
          <w:sz w:val="22"/>
          <w:szCs w:val="22"/>
          <w:shd w:val="clear" w:color="auto" w:fill="FFFFFF"/>
        </w:rPr>
        <w:t>as a benchmark for comparison to that of GRNsight’s capabilities.</w:t>
      </w:r>
    </w:p>
    <w:p w14:paraId="7F7BC4EA" w14:textId="77777777" w:rsidR="00F91CBF" w:rsidRPr="00625243" w:rsidRDefault="00F91CBF" w:rsidP="00C32DFC">
      <w:pPr>
        <w:ind w:left="720" w:hanging="720"/>
        <w:rPr>
          <w:color w:val="222222"/>
          <w:sz w:val="22"/>
          <w:szCs w:val="22"/>
          <w:shd w:val="clear" w:color="auto" w:fill="FFFFFF"/>
        </w:rPr>
      </w:pPr>
    </w:p>
    <w:p w14:paraId="7C33B09F" w14:textId="4D1CF857" w:rsidR="0010748C" w:rsidRDefault="0010748C" w:rsidP="00C32DFC">
      <w:pPr>
        <w:ind w:left="720" w:hanging="720"/>
        <w:rPr>
          <w:color w:val="222222"/>
          <w:sz w:val="22"/>
          <w:szCs w:val="22"/>
          <w:shd w:val="clear" w:color="auto" w:fill="FFFFFF"/>
        </w:rPr>
      </w:pPr>
      <w:r w:rsidRPr="00625243">
        <w:rPr>
          <w:color w:val="222222"/>
          <w:sz w:val="22"/>
          <w:szCs w:val="22"/>
          <w:shd w:val="clear" w:color="auto" w:fill="FFFFFF"/>
        </w:rPr>
        <w:t>Futschik, M. E., &amp; Crompton, T. (2004). OLIN: optimized normalization, visualization and quality testing of two-channel microarray data.</w:t>
      </w:r>
      <w:r w:rsidRPr="00625243">
        <w:rPr>
          <w:rStyle w:val="apple-converted-space"/>
          <w:color w:val="222222"/>
          <w:sz w:val="22"/>
          <w:szCs w:val="22"/>
          <w:shd w:val="clear" w:color="auto" w:fill="FFFFFF"/>
        </w:rPr>
        <w:t> </w:t>
      </w:r>
      <w:r w:rsidRPr="00625243">
        <w:rPr>
          <w:i/>
          <w:iCs/>
          <w:color w:val="222222"/>
          <w:sz w:val="22"/>
          <w:szCs w:val="22"/>
        </w:rPr>
        <w:t>Bioinformatics</w:t>
      </w:r>
      <w:r w:rsidRPr="00625243">
        <w:rPr>
          <w:color w:val="222222"/>
          <w:sz w:val="22"/>
          <w:szCs w:val="22"/>
          <w:shd w:val="clear" w:color="auto" w:fill="FFFFFF"/>
        </w:rPr>
        <w:t>,</w:t>
      </w:r>
      <w:r w:rsidRPr="00625243">
        <w:rPr>
          <w:rStyle w:val="apple-converted-space"/>
          <w:color w:val="222222"/>
          <w:sz w:val="22"/>
          <w:szCs w:val="22"/>
          <w:shd w:val="clear" w:color="auto" w:fill="FFFFFF"/>
        </w:rPr>
        <w:t> </w:t>
      </w:r>
      <w:r w:rsidRPr="00625243">
        <w:rPr>
          <w:i/>
          <w:iCs/>
          <w:color w:val="222222"/>
          <w:sz w:val="22"/>
          <w:szCs w:val="22"/>
        </w:rPr>
        <w:t>21</w:t>
      </w:r>
      <w:r w:rsidRPr="00625243">
        <w:rPr>
          <w:color w:val="222222"/>
          <w:sz w:val="22"/>
          <w:szCs w:val="22"/>
          <w:shd w:val="clear" w:color="auto" w:fill="FFFFFF"/>
        </w:rPr>
        <w:t>(8), 1724-1726.</w:t>
      </w:r>
    </w:p>
    <w:p w14:paraId="6B6FF526" w14:textId="666418D5" w:rsidR="00466E2F" w:rsidRDefault="00466E2F" w:rsidP="00C32DFC">
      <w:pPr>
        <w:ind w:left="720" w:hanging="720"/>
        <w:rPr>
          <w:color w:val="222222"/>
          <w:sz w:val="22"/>
          <w:szCs w:val="22"/>
          <w:shd w:val="clear" w:color="auto" w:fill="FFFFFF"/>
        </w:rPr>
      </w:pPr>
    </w:p>
    <w:p w14:paraId="49449064" w14:textId="6A6D07E8" w:rsidR="00D20EBA" w:rsidRDefault="00940491" w:rsidP="00F13A67">
      <w:pPr>
        <w:ind w:left="720" w:hanging="720"/>
        <w:rPr>
          <w:color w:val="222222"/>
          <w:sz w:val="22"/>
          <w:szCs w:val="22"/>
          <w:shd w:val="clear" w:color="auto" w:fill="FFFFFF"/>
        </w:rPr>
      </w:pPr>
      <w:r>
        <w:rPr>
          <w:color w:val="222222"/>
          <w:sz w:val="22"/>
          <w:szCs w:val="22"/>
          <w:shd w:val="clear" w:color="auto" w:fill="FFFFFF"/>
        </w:rPr>
        <w:tab/>
        <w:t>This article provides information regarding the method of normalization and visualization of microarray data used by this particular research group. The normalization function that they used is a complicated algorithm, as opposed to the normalization that is used in GRNsight, which is relative to the node with the smallest weight. Additionally, the visualization functions that OLIN provides are features that are now commonly available and used in many commercial microarray analysis software.</w:t>
      </w:r>
    </w:p>
    <w:p w14:paraId="62CFBCBC" w14:textId="77777777" w:rsidR="00D20EBA" w:rsidRDefault="00D20EBA" w:rsidP="00C32DFC">
      <w:pPr>
        <w:ind w:left="720" w:hanging="720"/>
        <w:rPr>
          <w:color w:val="222222"/>
          <w:sz w:val="22"/>
          <w:szCs w:val="22"/>
          <w:shd w:val="clear" w:color="auto" w:fill="FFFFFF"/>
        </w:rPr>
      </w:pPr>
    </w:p>
    <w:p w14:paraId="3BD05DFE" w14:textId="56887115" w:rsidR="00E9672E" w:rsidRDefault="00E9672E" w:rsidP="00940491">
      <w:pPr>
        <w:ind w:left="1440" w:hanging="1440"/>
        <w:rPr>
          <w:color w:val="222222"/>
          <w:sz w:val="22"/>
          <w:szCs w:val="22"/>
          <w:shd w:val="clear" w:color="auto" w:fill="FFFFFF"/>
        </w:rPr>
      </w:pPr>
      <w:r w:rsidRPr="00E9672E">
        <w:rPr>
          <w:color w:val="222222"/>
          <w:sz w:val="22"/>
          <w:szCs w:val="22"/>
          <w:shd w:val="clear" w:color="auto" w:fill="FFFFFF"/>
        </w:rPr>
        <w:t xml:space="preserve">Kohl, M., Wiese, S., &amp; Warscheid, B. (2011). Cytoscape: software for visualization and analysis of biological networks. </w:t>
      </w:r>
      <w:r w:rsidRPr="00CD4F80">
        <w:rPr>
          <w:i/>
          <w:color w:val="222222"/>
          <w:sz w:val="22"/>
          <w:szCs w:val="22"/>
          <w:shd w:val="clear" w:color="auto" w:fill="FFFFFF"/>
        </w:rPr>
        <w:t>In Data Mining in Proteomics</w:t>
      </w:r>
      <w:r w:rsidRPr="00E9672E">
        <w:rPr>
          <w:color w:val="222222"/>
          <w:sz w:val="22"/>
          <w:szCs w:val="22"/>
          <w:shd w:val="clear" w:color="auto" w:fill="FFFFFF"/>
        </w:rPr>
        <w:t xml:space="preserve"> (pp. 291-303). Humana Press.</w:t>
      </w:r>
    </w:p>
    <w:p w14:paraId="4B6704FA" w14:textId="4A36B633" w:rsidR="00D20EBA" w:rsidRDefault="00D20EBA" w:rsidP="00C32DFC">
      <w:pPr>
        <w:ind w:left="720" w:hanging="720"/>
        <w:rPr>
          <w:color w:val="222222"/>
          <w:sz w:val="22"/>
          <w:szCs w:val="22"/>
          <w:shd w:val="clear" w:color="auto" w:fill="FFFFFF"/>
        </w:rPr>
      </w:pPr>
    </w:p>
    <w:p w14:paraId="2FF89207" w14:textId="1E5D30C9" w:rsidR="00D20EBA" w:rsidRDefault="009D7D0E" w:rsidP="00C32DFC">
      <w:pPr>
        <w:ind w:left="720" w:hanging="720"/>
        <w:rPr>
          <w:color w:val="222222"/>
          <w:sz w:val="22"/>
          <w:szCs w:val="22"/>
          <w:shd w:val="clear" w:color="auto" w:fill="FFFFFF"/>
        </w:rPr>
      </w:pPr>
      <w:r>
        <w:rPr>
          <w:color w:val="222222"/>
          <w:sz w:val="22"/>
          <w:szCs w:val="22"/>
          <w:shd w:val="clear" w:color="auto" w:fill="FFFFFF"/>
        </w:rPr>
        <w:tab/>
        <w:t xml:space="preserve">Cytoscape is a software tailor-made for the visualization of biological pathways represented as networks of interactions. This article provides a few of the motivations behind the creation of </w:t>
      </w:r>
      <w:r>
        <w:rPr>
          <w:color w:val="222222"/>
          <w:sz w:val="22"/>
          <w:szCs w:val="22"/>
          <w:shd w:val="clear" w:color="auto" w:fill="FFFFFF"/>
        </w:rPr>
        <w:lastRenderedPageBreak/>
        <w:t>Cytoscape, and also contains a list of properties key for a successful software in the field of biological network data representation.</w:t>
      </w:r>
      <w:r w:rsidR="005A1620">
        <w:rPr>
          <w:color w:val="222222"/>
          <w:sz w:val="22"/>
          <w:szCs w:val="22"/>
          <w:shd w:val="clear" w:color="auto" w:fill="FFFFFF"/>
        </w:rPr>
        <w:t xml:space="preserve"> Additionally, this article provides additional use cases for the software, which can be mentioned in my paper.</w:t>
      </w:r>
    </w:p>
    <w:p w14:paraId="2609921A" w14:textId="0D7C576A" w:rsidR="007A2C94" w:rsidRPr="00625243" w:rsidRDefault="007A2C94" w:rsidP="00C32DFC">
      <w:pPr>
        <w:ind w:left="720" w:hanging="720"/>
        <w:rPr>
          <w:color w:val="222222"/>
          <w:sz w:val="22"/>
          <w:szCs w:val="22"/>
          <w:shd w:val="clear" w:color="auto" w:fill="FFFFFF"/>
        </w:rPr>
      </w:pPr>
      <w:r w:rsidRPr="00625243">
        <w:rPr>
          <w:color w:val="222222"/>
          <w:sz w:val="22"/>
          <w:szCs w:val="22"/>
          <w:shd w:val="clear" w:color="auto" w:fill="FFFFFF"/>
        </w:rPr>
        <w:t>Lashkari, D. A., DeRisi, J. L., McCusker, J. H., Namath, A. F., Gentile, C., Hwang, S. Y., ... &amp; Davis, R. W. (1997). Yeast microarrays for genome wide parallel genetic and gene expression analysis.</w:t>
      </w:r>
      <w:r w:rsidRPr="00625243">
        <w:rPr>
          <w:rStyle w:val="apple-converted-space"/>
          <w:color w:val="222222"/>
          <w:sz w:val="22"/>
          <w:szCs w:val="22"/>
          <w:shd w:val="clear" w:color="auto" w:fill="FFFFFF"/>
        </w:rPr>
        <w:t> </w:t>
      </w:r>
      <w:r w:rsidRPr="00625243">
        <w:rPr>
          <w:i/>
          <w:iCs/>
          <w:color w:val="222222"/>
          <w:sz w:val="22"/>
          <w:szCs w:val="22"/>
        </w:rPr>
        <w:t>Proceedings of the National Academy of Sciences</w:t>
      </w:r>
      <w:r w:rsidRPr="00625243">
        <w:rPr>
          <w:color w:val="222222"/>
          <w:sz w:val="22"/>
          <w:szCs w:val="22"/>
          <w:shd w:val="clear" w:color="auto" w:fill="FFFFFF"/>
        </w:rPr>
        <w:t>,</w:t>
      </w:r>
      <w:r w:rsidRPr="00625243">
        <w:rPr>
          <w:rStyle w:val="apple-converted-space"/>
          <w:color w:val="222222"/>
          <w:sz w:val="22"/>
          <w:szCs w:val="22"/>
          <w:shd w:val="clear" w:color="auto" w:fill="FFFFFF"/>
        </w:rPr>
        <w:t> </w:t>
      </w:r>
      <w:r w:rsidRPr="00625243">
        <w:rPr>
          <w:i/>
          <w:iCs/>
          <w:color w:val="222222"/>
          <w:sz w:val="22"/>
          <w:szCs w:val="22"/>
        </w:rPr>
        <w:t>94</w:t>
      </w:r>
      <w:r w:rsidRPr="00625243">
        <w:rPr>
          <w:color w:val="222222"/>
          <w:sz w:val="22"/>
          <w:szCs w:val="22"/>
          <w:shd w:val="clear" w:color="auto" w:fill="FFFFFF"/>
        </w:rPr>
        <w:t>(24), 13057-13062.</w:t>
      </w:r>
    </w:p>
    <w:p w14:paraId="2FE3DAA4" w14:textId="77777777" w:rsidR="00202AE2" w:rsidRDefault="00202AE2" w:rsidP="00C32DFC">
      <w:pPr>
        <w:ind w:left="720" w:hanging="720"/>
        <w:rPr>
          <w:color w:val="222222"/>
          <w:sz w:val="22"/>
          <w:szCs w:val="22"/>
          <w:shd w:val="clear" w:color="auto" w:fill="FFFFFF"/>
        </w:rPr>
      </w:pPr>
    </w:p>
    <w:p w14:paraId="7AB94033" w14:textId="23847E75" w:rsidR="00202AE2" w:rsidRPr="00675CF4" w:rsidRDefault="00675CF4" w:rsidP="00C32DFC">
      <w:pPr>
        <w:ind w:left="720" w:hanging="720"/>
        <w:rPr>
          <w:color w:val="222222"/>
          <w:sz w:val="22"/>
          <w:szCs w:val="22"/>
          <w:shd w:val="clear" w:color="auto" w:fill="FFFFFF"/>
        </w:rPr>
      </w:pPr>
      <w:r>
        <w:rPr>
          <w:color w:val="222222"/>
          <w:sz w:val="22"/>
          <w:szCs w:val="22"/>
          <w:shd w:val="clear" w:color="auto" w:fill="FFFFFF"/>
        </w:rPr>
        <w:tab/>
        <w:t xml:space="preserve">This article provides insight into the first major creation and application of DNA microarrays for the representation of activation of </w:t>
      </w:r>
      <w:r>
        <w:rPr>
          <w:i/>
          <w:color w:val="222222"/>
          <w:sz w:val="22"/>
          <w:szCs w:val="22"/>
          <w:shd w:val="clear" w:color="auto" w:fill="FFFFFF"/>
        </w:rPr>
        <w:t>Saccharomyces cerevisiae</w:t>
      </w:r>
      <w:r>
        <w:rPr>
          <w:color w:val="222222"/>
          <w:sz w:val="22"/>
          <w:szCs w:val="22"/>
          <w:shd w:val="clear" w:color="auto" w:fill="FFFFFF"/>
        </w:rPr>
        <w:t xml:space="preserve"> open reading frames. DNA microarrays are used in the Dahlquist lab’s wet lab to obtain data about the activation or repression of genes under cold shock conditions. </w:t>
      </w:r>
      <w:r w:rsidR="002125E8">
        <w:rPr>
          <w:color w:val="222222"/>
          <w:sz w:val="22"/>
          <w:szCs w:val="22"/>
          <w:shd w:val="clear" w:color="auto" w:fill="FFFFFF"/>
        </w:rPr>
        <w:t xml:space="preserve">This particular study used heat shock to demonstrate differences between microarrays. </w:t>
      </w:r>
    </w:p>
    <w:p w14:paraId="606BFA6C" w14:textId="77777777" w:rsidR="00202AE2" w:rsidRDefault="00202AE2" w:rsidP="00C32DFC">
      <w:pPr>
        <w:ind w:left="720" w:hanging="720"/>
        <w:rPr>
          <w:color w:val="222222"/>
          <w:sz w:val="22"/>
          <w:szCs w:val="22"/>
          <w:shd w:val="clear" w:color="auto" w:fill="FFFFFF"/>
        </w:rPr>
      </w:pPr>
    </w:p>
    <w:p w14:paraId="6E89A049" w14:textId="2FE0DC30" w:rsidR="003150F1" w:rsidRDefault="003150F1" w:rsidP="00C32DFC">
      <w:pPr>
        <w:ind w:left="720" w:hanging="720"/>
        <w:rPr>
          <w:color w:val="222222"/>
          <w:sz w:val="22"/>
          <w:szCs w:val="22"/>
          <w:shd w:val="clear" w:color="auto" w:fill="FFFFFF"/>
        </w:rPr>
      </w:pPr>
      <w:r w:rsidRPr="00625243">
        <w:rPr>
          <w:color w:val="222222"/>
          <w:sz w:val="22"/>
          <w:szCs w:val="22"/>
          <w:shd w:val="clear" w:color="auto" w:fill="FFFFFF"/>
        </w:rPr>
        <w:t>Leff, A., &amp; Rayfield, J. T. (2001). Web-application development using the model/view/controller design pattern. In</w:t>
      </w:r>
      <w:r w:rsidRPr="00625243">
        <w:rPr>
          <w:rStyle w:val="apple-converted-space"/>
          <w:color w:val="222222"/>
          <w:sz w:val="22"/>
          <w:szCs w:val="22"/>
          <w:shd w:val="clear" w:color="auto" w:fill="FFFFFF"/>
        </w:rPr>
        <w:t> </w:t>
      </w:r>
      <w:r w:rsidRPr="00625243">
        <w:rPr>
          <w:i/>
          <w:iCs/>
          <w:color w:val="222222"/>
          <w:sz w:val="22"/>
          <w:szCs w:val="22"/>
        </w:rPr>
        <w:t>Enterprise Distributed Object Computing Conference, 2001. EDOC'01. Proceedings. Fifth IEEE International</w:t>
      </w:r>
      <w:r w:rsidRPr="00625243">
        <w:rPr>
          <w:rStyle w:val="apple-converted-space"/>
          <w:color w:val="222222"/>
          <w:sz w:val="22"/>
          <w:szCs w:val="22"/>
          <w:shd w:val="clear" w:color="auto" w:fill="FFFFFF"/>
        </w:rPr>
        <w:t> </w:t>
      </w:r>
      <w:r w:rsidRPr="00625243">
        <w:rPr>
          <w:color w:val="222222"/>
          <w:sz w:val="22"/>
          <w:szCs w:val="22"/>
          <w:shd w:val="clear" w:color="auto" w:fill="FFFFFF"/>
        </w:rPr>
        <w:t>(pp. 118-127). IEEE.</w:t>
      </w:r>
    </w:p>
    <w:p w14:paraId="5979982A" w14:textId="28CF7813" w:rsidR="00F13A67" w:rsidRDefault="00F13A67" w:rsidP="00C32DFC">
      <w:pPr>
        <w:ind w:left="720" w:hanging="720"/>
        <w:rPr>
          <w:color w:val="222222"/>
          <w:sz w:val="22"/>
          <w:szCs w:val="22"/>
          <w:shd w:val="clear" w:color="auto" w:fill="FFFFFF"/>
        </w:rPr>
      </w:pPr>
    </w:p>
    <w:p w14:paraId="38AF7E07" w14:textId="09E09BFF" w:rsidR="00202AE2" w:rsidRDefault="001A0581" w:rsidP="00C32DFC">
      <w:pPr>
        <w:ind w:left="720" w:hanging="720"/>
        <w:rPr>
          <w:color w:val="222222"/>
          <w:sz w:val="22"/>
          <w:szCs w:val="22"/>
          <w:shd w:val="clear" w:color="auto" w:fill="FFFFFF"/>
        </w:rPr>
      </w:pPr>
      <w:r>
        <w:rPr>
          <w:color w:val="222222"/>
          <w:sz w:val="22"/>
          <w:szCs w:val="22"/>
          <w:shd w:val="clear" w:color="auto" w:fill="FFFFFF"/>
        </w:rPr>
        <w:tab/>
        <w:t xml:space="preserve">Application of the Model-View-Controller paradigm to GRNsight is going to be my big focus during the course of this semester. This article provides a </w:t>
      </w:r>
      <w:r w:rsidR="000F5013">
        <w:rPr>
          <w:color w:val="222222"/>
          <w:sz w:val="22"/>
          <w:szCs w:val="22"/>
          <w:shd w:val="clear" w:color="auto" w:fill="FFFFFF"/>
        </w:rPr>
        <w:t>roadmap to implementing this archetype</w:t>
      </w:r>
      <w:r w:rsidR="00430514">
        <w:rPr>
          <w:color w:val="222222"/>
          <w:sz w:val="22"/>
          <w:szCs w:val="22"/>
          <w:shd w:val="clear" w:color="auto" w:fill="FFFFFF"/>
        </w:rPr>
        <w:t>; it provides solutions to potential problems that may arise, such as state synchronization, and</w:t>
      </w:r>
      <w:r w:rsidR="00E20462">
        <w:rPr>
          <w:color w:val="222222"/>
          <w:sz w:val="22"/>
          <w:szCs w:val="22"/>
          <w:shd w:val="clear" w:color="auto" w:fill="FFFFFF"/>
        </w:rPr>
        <w:t>, despite its age, provides examples of successful implementations. It</w:t>
      </w:r>
      <w:r w:rsidR="007456D2">
        <w:rPr>
          <w:color w:val="222222"/>
          <w:sz w:val="22"/>
          <w:szCs w:val="22"/>
          <w:shd w:val="clear" w:color="auto" w:fill="FFFFFF"/>
        </w:rPr>
        <w:t xml:space="preserve"> </w:t>
      </w:r>
      <w:r>
        <w:rPr>
          <w:color w:val="222222"/>
          <w:sz w:val="22"/>
          <w:szCs w:val="22"/>
          <w:shd w:val="clear" w:color="auto" w:fill="FFFFFF"/>
        </w:rPr>
        <w:t>also espouses the many benefits that this architecture provides, making it a worthwhile source to cite.</w:t>
      </w:r>
    </w:p>
    <w:p w14:paraId="13BA162A" w14:textId="77777777" w:rsidR="00202AE2" w:rsidRDefault="00202AE2" w:rsidP="00C32DFC">
      <w:pPr>
        <w:ind w:left="720" w:hanging="720"/>
        <w:rPr>
          <w:color w:val="222222"/>
          <w:sz w:val="22"/>
          <w:szCs w:val="22"/>
          <w:shd w:val="clear" w:color="auto" w:fill="FFFFFF"/>
        </w:rPr>
      </w:pPr>
    </w:p>
    <w:p w14:paraId="2DE15E16" w14:textId="3F82B081" w:rsidR="00F13A67" w:rsidRDefault="00455290" w:rsidP="00C32DFC">
      <w:pPr>
        <w:ind w:left="720" w:hanging="720"/>
        <w:rPr>
          <w:color w:val="222222"/>
          <w:sz w:val="22"/>
          <w:szCs w:val="22"/>
          <w:shd w:val="clear" w:color="auto" w:fill="FFFFFF"/>
        </w:rPr>
      </w:pPr>
      <w:r w:rsidRPr="00455290">
        <w:rPr>
          <w:color w:val="222222"/>
          <w:sz w:val="22"/>
          <w:szCs w:val="22"/>
          <w:shd w:val="clear" w:color="auto" w:fill="FFFFFF"/>
        </w:rPr>
        <w:t>Teller, S. (2013). Data visualization with d3.js. Birmingham: Packt Publishing. Retrieved from https://the-eye.eu/public/Books/qt.vidyagam.es/library/Web Development/Data Visualization With D3.js/Data Visualization With D3.js - Swizec Teller.pdf</w:t>
      </w:r>
    </w:p>
    <w:p w14:paraId="62E497E6" w14:textId="76A43F59" w:rsidR="00455290" w:rsidRDefault="00455290" w:rsidP="00C32DFC">
      <w:pPr>
        <w:ind w:left="720" w:hanging="720"/>
        <w:rPr>
          <w:color w:val="222222"/>
          <w:sz w:val="22"/>
          <w:szCs w:val="22"/>
          <w:shd w:val="clear" w:color="auto" w:fill="FFFFFF"/>
        </w:rPr>
      </w:pPr>
    </w:p>
    <w:p w14:paraId="0C9264AB" w14:textId="6F250045" w:rsidR="00202AE2" w:rsidRDefault="00885406" w:rsidP="00C32DFC">
      <w:pPr>
        <w:ind w:left="720" w:hanging="720"/>
        <w:rPr>
          <w:color w:val="222222"/>
          <w:sz w:val="22"/>
          <w:szCs w:val="22"/>
          <w:shd w:val="clear" w:color="auto" w:fill="FFFFFF"/>
        </w:rPr>
      </w:pPr>
      <w:r>
        <w:rPr>
          <w:color w:val="222222"/>
          <w:sz w:val="22"/>
          <w:szCs w:val="22"/>
          <w:shd w:val="clear" w:color="auto" w:fill="FFFFFF"/>
        </w:rPr>
        <w:tab/>
        <w:t>D3.js provides the backbone for all the visualization that GRNsight does. It’s role as a lightweight, easy to use, open source visualization tool also makes it one of the most popular visualization libraries used</w:t>
      </w:r>
      <w:r w:rsidR="00633CDC">
        <w:rPr>
          <w:color w:val="222222"/>
          <w:sz w:val="22"/>
          <w:szCs w:val="22"/>
          <w:shd w:val="clear" w:color="auto" w:fill="FFFFFF"/>
        </w:rPr>
        <w:t xml:space="preserve"> in modern software development. This book explores the many avenues that a developer can take with d3.js and also provides a guide on familiarizing oneself with all of d3.js’s tools, especially those used on the GRNsight project. This book is a useful tool to cite, especially when discussing GRNsight’s new MVC architecture’s interactions with d3.js.</w:t>
      </w:r>
    </w:p>
    <w:p w14:paraId="3A81E396" w14:textId="77777777" w:rsidR="00202AE2" w:rsidRDefault="00202AE2" w:rsidP="00C32DFC">
      <w:pPr>
        <w:ind w:left="720" w:hanging="720"/>
        <w:rPr>
          <w:color w:val="222222"/>
          <w:sz w:val="22"/>
          <w:szCs w:val="22"/>
          <w:shd w:val="clear" w:color="auto" w:fill="FFFFFF"/>
        </w:rPr>
      </w:pPr>
    </w:p>
    <w:p w14:paraId="18C21E93" w14:textId="1C4417C0" w:rsidR="00434081" w:rsidRDefault="00930C59" w:rsidP="00C32DFC">
      <w:pPr>
        <w:ind w:left="720" w:hanging="720"/>
        <w:rPr>
          <w:color w:val="222222"/>
          <w:sz w:val="22"/>
          <w:szCs w:val="22"/>
          <w:shd w:val="clear" w:color="auto" w:fill="FFFFFF"/>
        </w:rPr>
      </w:pPr>
      <w:r w:rsidRPr="00625243">
        <w:rPr>
          <w:color w:val="222222"/>
          <w:sz w:val="22"/>
          <w:szCs w:val="22"/>
          <w:shd w:val="clear" w:color="auto" w:fill="FFFFFF"/>
        </w:rPr>
        <w:t>Pavlopoulos, G. A., Malliarakis, D., Papanikolaou, N., Theodosiou, T., Enright, A. J., &amp; Iliopoulos, I. (2015). Visualizing genome and systems biology: technologies, tools, implementation techniques and trends, past, present and future.</w:t>
      </w:r>
      <w:r w:rsidRPr="00625243">
        <w:rPr>
          <w:rStyle w:val="apple-converted-space"/>
          <w:color w:val="222222"/>
          <w:sz w:val="22"/>
          <w:szCs w:val="22"/>
          <w:shd w:val="clear" w:color="auto" w:fill="FFFFFF"/>
        </w:rPr>
        <w:t> </w:t>
      </w:r>
      <w:r w:rsidRPr="00625243">
        <w:rPr>
          <w:i/>
          <w:iCs/>
          <w:color w:val="222222"/>
          <w:sz w:val="22"/>
          <w:szCs w:val="22"/>
        </w:rPr>
        <w:t>Gigascience</w:t>
      </w:r>
      <w:r w:rsidRPr="00625243">
        <w:rPr>
          <w:color w:val="222222"/>
          <w:sz w:val="22"/>
          <w:szCs w:val="22"/>
          <w:shd w:val="clear" w:color="auto" w:fill="FFFFFF"/>
        </w:rPr>
        <w:t>,</w:t>
      </w:r>
      <w:r w:rsidRPr="00625243">
        <w:rPr>
          <w:rStyle w:val="apple-converted-space"/>
          <w:color w:val="222222"/>
          <w:sz w:val="22"/>
          <w:szCs w:val="22"/>
          <w:shd w:val="clear" w:color="auto" w:fill="FFFFFF"/>
        </w:rPr>
        <w:t> </w:t>
      </w:r>
      <w:r w:rsidRPr="00625243">
        <w:rPr>
          <w:i/>
          <w:iCs/>
          <w:color w:val="222222"/>
          <w:sz w:val="22"/>
          <w:szCs w:val="22"/>
        </w:rPr>
        <w:t>4</w:t>
      </w:r>
      <w:r w:rsidRPr="00625243">
        <w:rPr>
          <w:color w:val="222222"/>
          <w:sz w:val="22"/>
          <w:szCs w:val="22"/>
          <w:shd w:val="clear" w:color="auto" w:fill="FFFFFF"/>
        </w:rPr>
        <w:t>(1), 38.</w:t>
      </w:r>
    </w:p>
    <w:p w14:paraId="6638B637" w14:textId="77777777" w:rsidR="00202AE2" w:rsidRDefault="00202AE2" w:rsidP="00C32DFC">
      <w:pPr>
        <w:ind w:left="720" w:hanging="720"/>
        <w:rPr>
          <w:color w:val="222222"/>
          <w:sz w:val="22"/>
          <w:szCs w:val="22"/>
          <w:shd w:val="clear" w:color="auto" w:fill="FFFFFF"/>
        </w:rPr>
      </w:pPr>
    </w:p>
    <w:p w14:paraId="7F359EAC" w14:textId="23E66382" w:rsidR="00202AE2" w:rsidRDefault="00D3708E" w:rsidP="00C32DFC">
      <w:pPr>
        <w:ind w:left="720" w:hanging="720"/>
        <w:rPr>
          <w:color w:val="222222"/>
          <w:sz w:val="22"/>
          <w:szCs w:val="22"/>
          <w:shd w:val="clear" w:color="auto" w:fill="FFFFFF"/>
        </w:rPr>
      </w:pPr>
      <w:r>
        <w:rPr>
          <w:color w:val="222222"/>
          <w:sz w:val="22"/>
          <w:szCs w:val="22"/>
          <w:shd w:val="clear" w:color="auto" w:fill="FFFFFF"/>
        </w:rPr>
        <w:tab/>
        <w:t xml:space="preserve">Visualization of genomic data in Systems Biology is a large field, with many </w:t>
      </w:r>
      <w:r w:rsidR="00467A45">
        <w:rPr>
          <w:color w:val="222222"/>
          <w:sz w:val="22"/>
          <w:szCs w:val="22"/>
          <w:shd w:val="clear" w:color="auto" w:fill="FFFFFF"/>
        </w:rPr>
        <w:t>software tools available, each filling or competing to fill a particular niche. GRNsight’s niche, so far seriously unopposed, is the visualization of small- to medium-scale gene regulatory networks in a lightweight, easy to use package. This review goes over the other software tools and</w:t>
      </w:r>
      <w:r w:rsidR="00675629">
        <w:rPr>
          <w:color w:val="222222"/>
          <w:sz w:val="22"/>
          <w:szCs w:val="22"/>
          <w:shd w:val="clear" w:color="auto" w:fill="FFFFFF"/>
        </w:rPr>
        <w:t xml:space="preserve"> technologies that are available and widely used in the field of Systems Biology. </w:t>
      </w:r>
      <w:r w:rsidR="000D529A">
        <w:rPr>
          <w:color w:val="222222"/>
          <w:sz w:val="22"/>
          <w:szCs w:val="22"/>
          <w:shd w:val="clear" w:color="auto" w:fill="FFFFFF"/>
        </w:rPr>
        <w:t>Some of the tools and techniques mentioned here could be mentioned in my introduction or conclusion, as areas that we could improve on, or that we are already better at.</w:t>
      </w:r>
    </w:p>
    <w:p w14:paraId="11211BF8" w14:textId="77777777" w:rsidR="00202AE2" w:rsidRDefault="00202AE2" w:rsidP="00C32DFC">
      <w:pPr>
        <w:ind w:left="720" w:hanging="720"/>
        <w:rPr>
          <w:color w:val="222222"/>
          <w:sz w:val="22"/>
          <w:szCs w:val="22"/>
          <w:shd w:val="clear" w:color="auto" w:fill="FFFFFF"/>
        </w:rPr>
      </w:pPr>
    </w:p>
    <w:p w14:paraId="5C54E324" w14:textId="4715245F" w:rsidR="00434081" w:rsidRDefault="00434081" w:rsidP="00C32DFC">
      <w:pPr>
        <w:ind w:left="720" w:hanging="720"/>
        <w:rPr>
          <w:color w:val="222222"/>
          <w:sz w:val="22"/>
          <w:szCs w:val="22"/>
          <w:shd w:val="clear" w:color="auto" w:fill="FFFFFF"/>
        </w:rPr>
      </w:pPr>
      <w:r w:rsidRPr="00434081">
        <w:rPr>
          <w:color w:val="222222"/>
          <w:sz w:val="22"/>
          <w:szCs w:val="22"/>
          <w:shd w:val="clear" w:color="auto" w:fill="FFFFFF"/>
        </w:rPr>
        <w:t xml:space="preserve">Saraiya, P., North, C., &amp; Duca, K. (2005). Visualizing Biological Pathways: Requirements Analysis, Systems Evaluation and Research Agenda. </w:t>
      </w:r>
      <w:r w:rsidRPr="00CD4F80">
        <w:rPr>
          <w:i/>
          <w:color w:val="222222"/>
          <w:sz w:val="22"/>
          <w:szCs w:val="22"/>
          <w:shd w:val="clear" w:color="auto" w:fill="FFFFFF"/>
        </w:rPr>
        <w:t>Information Visualization</w:t>
      </w:r>
      <w:r w:rsidRPr="00434081">
        <w:rPr>
          <w:color w:val="222222"/>
          <w:sz w:val="22"/>
          <w:szCs w:val="22"/>
          <w:shd w:val="clear" w:color="auto" w:fill="FFFFFF"/>
        </w:rPr>
        <w:t>, 4(3), 191–205. https://doi.org/10.1057/palgrave.ivs.9500102</w:t>
      </w:r>
    </w:p>
    <w:p w14:paraId="6B79D487" w14:textId="77777777" w:rsidR="00202AE2" w:rsidRDefault="00202AE2" w:rsidP="00C32DFC">
      <w:pPr>
        <w:ind w:left="720" w:hanging="720"/>
        <w:rPr>
          <w:sz w:val="22"/>
          <w:szCs w:val="22"/>
        </w:rPr>
      </w:pPr>
    </w:p>
    <w:p w14:paraId="64109153" w14:textId="18695642" w:rsidR="00202AE2" w:rsidRDefault="0055401D" w:rsidP="00C32DFC">
      <w:pPr>
        <w:ind w:left="720" w:hanging="720"/>
        <w:rPr>
          <w:sz w:val="22"/>
          <w:szCs w:val="22"/>
        </w:rPr>
      </w:pPr>
      <w:r>
        <w:rPr>
          <w:sz w:val="22"/>
          <w:szCs w:val="22"/>
        </w:rPr>
        <w:tab/>
        <w:t>The main task of GRNsight is visualization of gene regulatory networks, and this article</w:t>
      </w:r>
      <w:r w:rsidR="00153D50">
        <w:rPr>
          <w:sz w:val="22"/>
          <w:szCs w:val="22"/>
        </w:rPr>
        <w:t>, written by experts in Human-Computer Interaction</w:t>
      </w:r>
      <w:r w:rsidR="00CA699E">
        <w:rPr>
          <w:sz w:val="22"/>
          <w:szCs w:val="22"/>
        </w:rPr>
        <w:t xml:space="preserve"> and Bioinformatics</w:t>
      </w:r>
      <w:r>
        <w:rPr>
          <w:sz w:val="22"/>
          <w:szCs w:val="22"/>
        </w:rPr>
        <w:t xml:space="preserve"> provides rules and best practices for the visualization of biological pathways.</w:t>
      </w:r>
      <w:r w:rsidR="002C0701">
        <w:rPr>
          <w:sz w:val="22"/>
          <w:szCs w:val="22"/>
        </w:rPr>
        <w:t xml:space="preserve"> The five best practices of biological pathway </w:t>
      </w:r>
      <w:r w:rsidR="002C0701">
        <w:rPr>
          <w:sz w:val="22"/>
          <w:szCs w:val="22"/>
        </w:rPr>
        <w:lastRenderedPageBreak/>
        <w:t>visualization that this article provides can be easily cited as GRNsight accomplishes each on</w:t>
      </w:r>
      <w:r w:rsidR="009E004C">
        <w:rPr>
          <w:sz w:val="22"/>
          <w:szCs w:val="22"/>
        </w:rPr>
        <w:t xml:space="preserve">e </w:t>
      </w:r>
      <w:r w:rsidR="002C0701">
        <w:rPr>
          <w:sz w:val="22"/>
          <w:szCs w:val="22"/>
        </w:rPr>
        <w:t>of them.</w:t>
      </w:r>
    </w:p>
    <w:p w14:paraId="33AB2D61" w14:textId="77777777" w:rsidR="00202AE2" w:rsidRDefault="00202AE2" w:rsidP="00C32DFC">
      <w:pPr>
        <w:ind w:left="720" w:hanging="720"/>
        <w:rPr>
          <w:sz w:val="22"/>
          <w:szCs w:val="22"/>
        </w:rPr>
      </w:pPr>
    </w:p>
    <w:p w14:paraId="57F3F8E7" w14:textId="6AA41449" w:rsidR="00293B96" w:rsidRPr="00625243" w:rsidRDefault="00293B96" w:rsidP="00C32DFC">
      <w:pPr>
        <w:ind w:left="720" w:hanging="720"/>
        <w:rPr>
          <w:sz w:val="22"/>
          <w:szCs w:val="22"/>
        </w:rPr>
      </w:pPr>
      <w:r w:rsidRPr="00293B96">
        <w:rPr>
          <w:sz w:val="22"/>
          <w:szCs w:val="22"/>
        </w:rPr>
        <w:t xml:space="preserve">Schade, B., Jansen, G., Whiteway, M., Entian, K. D., &amp; Thomas, D. Y. (2004). Cold adaptation in budding yeast. </w:t>
      </w:r>
      <w:r w:rsidRPr="00CD4F80">
        <w:rPr>
          <w:i/>
          <w:sz w:val="22"/>
          <w:szCs w:val="22"/>
        </w:rPr>
        <w:t>Molecular biology of the cell</w:t>
      </w:r>
      <w:r w:rsidRPr="00293B96">
        <w:rPr>
          <w:sz w:val="22"/>
          <w:szCs w:val="22"/>
        </w:rPr>
        <w:t>, 15(12), 5492-5502.</w:t>
      </w:r>
    </w:p>
    <w:p w14:paraId="093FFDD9" w14:textId="77777777" w:rsidR="00202AE2" w:rsidRDefault="00202AE2" w:rsidP="00C32DFC">
      <w:pPr>
        <w:ind w:left="720" w:hanging="720"/>
        <w:rPr>
          <w:sz w:val="22"/>
          <w:szCs w:val="22"/>
        </w:rPr>
      </w:pPr>
    </w:p>
    <w:p w14:paraId="735E5692" w14:textId="7CDE2A55" w:rsidR="00202AE2" w:rsidRDefault="00CD4F80" w:rsidP="00C32DFC">
      <w:pPr>
        <w:ind w:left="720" w:hanging="720"/>
        <w:rPr>
          <w:sz w:val="22"/>
          <w:szCs w:val="22"/>
        </w:rPr>
      </w:pPr>
      <w:r>
        <w:rPr>
          <w:sz w:val="22"/>
          <w:szCs w:val="22"/>
        </w:rPr>
        <w:tab/>
        <w:t xml:space="preserve">This article is the </w:t>
      </w:r>
      <w:r w:rsidR="00183537">
        <w:rPr>
          <w:sz w:val="22"/>
          <w:szCs w:val="22"/>
        </w:rPr>
        <w:t>classically</w:t>
      </w:r>
      <w:r>
        <w:rPr>
          <w:sz w:val="22"/>
          <w:szCs w:val="22"/>
        </w:rPr>
        <w:t xml:space="preserve"> cited article that provide the basis of the research of the Dahlquist lab. It provides the fundamental </w:t>
      </w:r>
      <w:r w:rsidR="00183537">
        <w:rPr>
          <w:sz w:val="22"/>
          <w:szCs w:val="22"/>
        </w:rPr>
        <w:t xml:space="preserve">transcriptional </w:t>
      </w:r>
      <w:r>
        <w:rPr>
          <w:sz w:val="22"/>
          <w:szCs w:val="22"/>
        </w:rPr>
        <w:t xml:space="preserve">data of genes most regulated </w:t>
      </w:r>
      <w:r w:rsidR="00183537">
        <w:rPr>
          <w:sz w:val="22"/>
          <w:szCs w:val="22"/>
        </w:rPr>
        <w:t>when exposed to a cold shock treatment</w:t>
      </w:r>
      <w:r w:rsidR="007E0DCB">
        <w:rPr>
          <w:sz w:val="22"/>
          <w:szCs w:val="22"/>
        </w:rPr>
        <w:t xml:space="preserve"> comparing it to a control treatment as well as other environmental stressors</w:t>
      </w:r>
      <w:r w:rsidR="00183537">
        <w:rPr>
          <w:sz w:val="22"/>
          <w:szCs w:val="22"/>
        </w:rPr>
        <w:t xml:space="preserve">. </w:t>
      </w:r>
      <w:r w:rsidR="00ED1EEC">
        <w:rPr>
          <w:sz w:val="22"/>
          <w:szCs w:val="22"/>
        </w:rPr>
        <w:t>The genes identified as being most regulated are subject to further, smaller scale analysis in experiments by the Dahlquist lab.</w:t>
      </w:r>
    </w:p>
    <w:p w14:paraId="048FCF20" w14:textId="77777777" w:rsidR="00202AE2" w:rsidRDefault="00202AE2" w:rsidP="00C32DFC">
      <w:pPr>
        <w:ind w:left="720" w:hanging="720"/>
        <w:rPr>
          <w:sz w:val="22"/>
          <w:szCs w:val="22"/>
        </w:rPr>
      </w:pPr>
    </w:p>
    <w:p w14:paraId="4BE68952" w14:textId="052C0386" w:rsidR="00662844" w:rsidRPr="00625243" w:rsidRDefault="00662844" w:rsidP="00C32DFC">
      <w:pPr>
        <w:ind w:left="720" w:hanging="720"/>
        <w:rPr>
          <w:sz w:val="22"/>
          <w:szCs w:val="22"/>
        </w:rPr>
      </w:pPr>
      <w:r w:rsidRPr="00662844">
        <w:rPr>
          <w:sz w:val="22"/>
          <w:szCs w:val="22"/>
        </w:rPr>
        <w:t xml:space="preserve">Theocharidis, A., Van Dongen, S., Enright, A. J., &amp; Freeman, T. C. (2009). Network visualization and analysis of gene expression data using BioLayout Express 3D. </w:t>
      </w:r>
      <w:r w:rsidRPr="00CD4F80">
        <w:rPr>
          <w:i/>
          <w:sz w:val="22"/>
          <w:szCs w:val="22"/>
        </w:rPr>
        <w:t>Nature protocols</w:t>
      </w:r>
      <w:r w:rsidRPr="00662844">
        <w:rPr>
          <w:sz w:val="22"/>
          <w:szCs w:val="22"/>
        </w:rPr>
        <w:t>, 4(10), 1535.</w:t>
      </w:r>
    </w:p>
    <w:p w14:paraId="74D971FB" w14:textId="4DCCEB61" w:rsidR="00612DF2" w:rsidRDefault="00612DF2" w:rsidP="00C32DFC">
      <w:pPr>
        <w:rPr>
          <w:sz w:val="22"/>
          <w:szCs w:val="22"/>
        </w:rPr>
      </w:pPr>
    </w:p>
    <w:p w14:paraId="496ED82E" w14:textId="44029AD3" w:rsidR="009B076F" w:rsidRPr="00625243" w:rsidRDefault="009B076F" w:rsidP="00A731A0">
      <w:pPr>
        <w:ind w:left="720" w:hanging="720"/>
        <w:rPr>
          <w:sz w:val="22"/>
          <w:szCs w:val="22"/>
        </w:rPr>
      </w:pPr>
      <w:r>
        <w:rPr>
          <w:sz w:val="22"/>
          <w:szCs w:val="22"/>
        </w:rPr>
        <w:tab/>
        <w:t>BioLayout Express 3D</w:t>
      </w:r>
      <w:r w:rsidR="00A731A0">
        <w:rPr>
          <w:sz w:val="22"/>
          <w:szCs w:val="22"/>
        </w:rPr>
        <w:t xml:space="preserve"> is a commonly used software tool to visualize gene expression data. However, while BioLayout Express 3D is meant to visualize large-scale networks in both three-dimensional and two-dimensional formats, GRNsight works with small-scale networks</w:t>
      </w:r>
      <w:r w:rsidR="00764748">
        <w:rPr>
          <w:sz w:val="22"/>
          <w:szCs w:val="22"/>
        </w:rPr>
        <w:t xml:space="preserve"> in simply a two-dimensional format. This paper can be cited, as any of the features and functionalities that BioLayout Express 3D can be compared to those of GRNsight</w:t>
      </w:r>
      <w:r w:rsidR="006A229F">
        <w:rPr>
          <w:sz w:val="22"/>
          <w:szCs w:val="22"/>
        </w:rPr>
        <w:t xml:space="preserve">. </w:t>
      </w:r>
      <w:r w:rsidR="007D6742">
        <w:rPr>
          <w:sz w:val="22"/>
          <w:szCs w:val="22"/>
        </w:rPr>
        <w:t>Additionally, as a multi-year project from a full-time lab, it has functionalities that surpass those of GRNsight, allowing us to derive future directions from it.</w:t>
      </w:r>
      <w:bookmarkStart w:id="0" w:name="_GoBack"/>
      <w:bookmarkEnd w:id="0"/>
    </w:p>
    <w:sectPr w:rsidR="009B076F" w:rsidRPr="00625243" w:rsidSect="00B8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36"/>
    <w:rsid w:val="00002C1C"/>
    <w:rsid w:val="00031563"/>
    <w:rsid w:val="000D529A"/>
    <w:rsid w:val="000E1819"/>
    <w:rsid w:val="000F5013"/>
    <w:rsid w:val="00106FF5"/>
    <w:rsid w:val="0010748C"/>
    <w:rsid w:val="00153D50"/>
    <w:rsid w:val="00183537"/>
    <w:rsid w:val="001A0581"/>
    <w:rsid w:val="001F0BAF"/>
    <w:rsid w:val="00202AE2"/>
    <w:rsid w:val="002125E8"/>
    <w:rsid w:val="00220C51"/>
    <w:rsid w:val="002525BB"/>
    <w:rsid w:val="00293B96"/>
    <w:rsid w:val="002C0701"/>
    <w:rsid w:val="003038CB"/>
    <w:rsid w:val="003150F1"/>
    <w:rsid w:val="00321358"/>
    <w:rsid w:val="00381E6F"/>
    <w:rsid w:val="0038796C"/>
    <w:rsid w:val="003A45B6"/>
    <w:rsid w:val="00430514"/>
    <w:rsid w:val="00434081"/>
    <w:rsid w:val="00455290"/>
    <w:rsid w:val="00466E2F"/>
    <w:rsid w:val="00467A45"/>
    <w:rsid w:val="004D148A"/>
    <w:rsid w:val="0055401D"/>
    <w:rsid w:val="00596745"/>
    <w:rsid w:val="005A1620"/>
    <w:rsid w:val="005B51E9"/>
    <w:rsid w:val="005D5847"/>
    <w:rsid w:val="00612DF2"/>
    <w:rsid w:val="00625243"/>
    <w:rsid w:val="00633CDC"/>
    <w:rsid w:val="00662844"/>
    <w:rsid w:val="00675629"/>
    <w:rsid w:val="00675CF4"/>
    <w:rsid w:val="00682C33"/>
    <w:rsid w:val="006A229F"/>
    <w:rsid w:val="006E30BF"/>
    <w:rsid w:val="007114C1"/>
    <w:rsid w:val="007456D2"/>
    <w:rsid w:val="0076335B"/>
    <w:rsid w:val="00764748"/>
    <w:rsid w:val="0079035C"/>
    <w:rsid w:val="007A2C94"/>
    <w:rsid w:val="007C124F"/>
    <w:rsid w:val="007D6742"/>
    <w:rsid w:val="007E0DCB"/>
    <w:rsid w:val="0080560C"/>
    <w:rsid w:val="00806B1D"/>
    <w:rsid w:val="008548BC"/>
    <w:rsid w:val="00885406"/>
    <w:rsid w:val="00894145"/>
    <w:rsid w:val="00902058"/>
    <w:rsid w:val="00930C59"/>
    <w:rsid w:val="00940491"/>
    <w:rsid w:val="009A2054"/>
    <w:rsid w:val="009B076F"/>
    <w:rsid w:val="009D7D0E"/>
    <w:rsid w:val="009E004C"/>
    <w:rsid w:val="00A24E41"/>
    <w:rsid w:val="00A30C6B"/>
    <w:rsid w:val="00A54B42"/>
    <w:rsid w:val="00A731A0"/>
    <w:rsid w:val="00AB3998"/>
    <w:rsid w:val="00B82ACF"/>
    <w:rsid w:val="00BE7285"/>
    <w:rsid w:val="00C32DFC"/>
    <w:rsid w:val="00CA699E"/>
    <w:rsid w:val="00CD4F80"/>
    <w:rsid w:val="00D20EBA"/>
    <w:rsid w:val="00D3708E"/>
    <w:rsid w:val="00D5363D"/>
    <w:rsid w:val="00D601BD"/>
    <w:rsid w:val="00D80BEC"/>
    <w:rsid w:val="00DF373E"/>
    <w:rsid w:val="00E20462"/>
    <w:rsid w:val="00E43642"/>
    <w:rsid w:val="00E66838"/>
    <w:rsid w:val="00E833EF"/>
    <w:rsid w:val="00E9672E"/>
    <w:rsid w:val="00EA4636"/>
    <w:rsid w:val="00EA561A"/>
    <w:rsid w:val="00ED1EEC"/>
    <w:rsid w:val="00ED25F8"/>
    <w:rsid w:val="00F02042"/>
    <w:rsid w:val="00F032E0"/>
    <w:rsid w:val="00F101D0"/>
    <w:rsid w:val="00F13A67"/>
    <w:rsid w:val="00F37D26"/>
    <w:rsid w:val="00F64DDD"/>
    <w:rsid w:val="00F9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A0F79"/>
  <w15:chartTrackingRefBased/>
  <w15:docId w15:val="{D6B19876-0ECE-E443-8AC9-3DE683E2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0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7881">
      <w:bodyDiv w:val="1"/>
      <w:marLeft w:val="0"/>
      <w:marRight w:val="0"/>
      <w:marTop w:val="0"/>
      <w:marBottom w:val="0"/>
      <w:divBdr>
        <w:top w:val="none" w:sz="0" w:space="0" w:color="auto"/>
        <w:left w:val="none" w:sz="0" w:space="0" w:color="auto"/>
        <w:bottom w:val="none" w:sz="0" w:space="0" w:color="auto"/>
        <w:right w:val="none" w:sz="0" w:space="0" w:color="auto"/>
      </w:divBdr>
      <w:divsChild>
        <w:div w:id="1138258971">
          <w:marLeft w:val="0"/>
          <w:marRight w:val="0"/>
          <w:marTop w:val="0"/>
          <w:marBottom w:val="0"/>
          <w:divBdr>
            <w:top w:val="none" w:sz="0" w:space="0" w:color="auto"/>
            <w:left w:val="none" w:sz="0" w:space="0" w:color="auto"/>
            <w:bottom w:val="none" w:sz="0" w:space="0" w:color="auto"/>
            <w:right w:val="none" w:sz="0" w:space="0" w:color="auto"/>
          </w:divBdr>
        </w:div>
      </w:divsChild>
    </w:div>
    <w:div w:id="191310260">
      <w:bodyDiv w:val="1"/>
      <w:marLeft w:val="0"/>
      <w:marRight w:val="0"/>
      <w:marTop w:val="0"/>
      <w:marBottom w:val="0"/>
      <w:divBdr>
        <w:top w:val="none" w:sz="0" w:space="0" w:color="auto"/>
        <w:left w:val="none" w:sz="0" w:space="0" w:color="auto"/>
        <w:bottom w:val="none" w:sz="0" w:space="0" w:color="auto"/>
        <w:right w:val="none" w:sz="0" w:space="0" w:color="auto"/>
      </w:divBdr>
    </w:div>
    <w:div w:id="535389356">
      <w:bodyDiv w:val="1"/>
      <w:marLeft w:val="0"/>
      <w:marRight w:val="0"/>
      <w:marTop w:val="0"/>
      <w:marBottom w:val="0"/>
      <w:divBdr>
        <w:top w:val="none" w:sz="0" w:space="0" w:color="auto"/>
        <w:left w:val="none" w:sz="0" w:space="0" w:color="auto"/>
        <w:bottom w:val="none" w:sz="0" w:space="0" w:color="auto"/>
        <w:right w:val="none" w:sz="0" w:space="0" w:color="auto"/>
      </w:divBdr>
    </w:div>
    <w:div w:id="818107599">
      <w:bodyDiv w:val="1"/>
      <w:marLeft w:val="0"/>
      <w:marRight w:val="0"/>
      <w:marTop w:val="0"/>
      <w:marBottom w:val="0"/>
      <w:divBdr>
        <w:top w:val="none" w:sz="0" w:space="0" w:color="auto"/>
        <w:left w:val="none" w:sz="0" w:space="0" w:color="auto"/>
        <w:bottom w:val="none" w:sz="0" w:space="0" w:color="auto"/>
        <w:right w:val="none" w:sz="0" w:space="0" w:color="auto"/>
      </w:divBdr>
    </w:div>
    <w:div w:id="832994084">
      <w:bodyDiv w:val="1"/>
      <w:marLeft w:val="0"/>
      <w:marRight w:val="0"/>
      <w:marTop w:val="0"/>
      <w:marBottom w:val="0"/>
      <w:divBdr>
        <w:top w:val="none" w:sz="0" w:space="0" w:color="auto"/>
        <w:left w:val="none" w:sz="0" w:space="0" w:color="auto"/>
        <w:bottom w:val="none" w:sz="0" w:space="0" w:color="auto"/>
        <w:right w:val="none" w:sz="0" w:space="0" w:color="auto"/>
      </w:divBdr>
    </w:div>
    <w:div w:id="1016276470">
      <w:bodyDiv w:val="1"/>
      <w:marLeft w:val="0"/>
      <w:marRight w:val="0"/>
      <w:marTop w:val="0"/>
      <w:marBottom w:val="0"/>
      <w:divBdr>
        <w:top w:val="none" w:sz="0" w:space="0" w:color="auto"/>
        <w:left w:val="none" w:sz="0" w:space="0" w:color="auto"/>
        <w:bottom w:val="none" w:sz="0" w:space="0" w:color="auto"/>
        <w:right w:val="none" w:sz="0" w:space="0" w:color="auto"/>
      </w:divBdr>
    </w:div>
    <w:div w:id="1153717385">
      <w:bodyDiv w:val="1"/>
      <w:marLeft w:val="0"/>
      <w:marRight w:val="0"/>
      <w:marTop w:val="0"/>
      <w:marBottom w:val="0"/>
      <w:divBdr>
        <w:top w:val="none" w:sz="0" w:space="0" w:color="auto"/>
        <w:left w:val="none" w:sz="0" w:space="0" w:color="auto"/>
        <w:bottom w:val="none" w:sz="0" w:space="0" w:color="auto"/>
        <w:right w:val="none" w:sz="0" w:space="0" w:color="auto"/>
      </w:divBdr>
    </w:div>
    <w:div w:id="1271206048">
      <w:bodyDiv w:val="1"/>
      <w:marLeft w:val="0"/>
      <w:marRight w:val="0"/>
      <w:marTop w:val="0"/>
      <w:marBottom w:val="0"/>
      <w:divBdr>
        <w:top w:val="none" w:sz="0" w:space="0" w:color="auto"/>
        <w:left w:val="none" w:sz="0" w:space="0" w:color="auto"/>
        <w:bottom w:val="none" w:sz="0" w:space="0" w:color="auto"/>
        <w:right w:val="none" w:sz="0" w:space="0" w:color="auto"/>
      </w:divBdr>
    </w:div>
    <w:div w:id="1486898087">
      <w:bodyDiv w:val="1"/>
      <w:marLeft w:val="0"/>
      <w:marRight w:val="0"/>
      <w:marTop w:val="0"/>
      <w:marBottom w:val="0"/>
      <w:divBdr>
        <w:top w:val="none" w:sz="0" w:space="0" w:color="auto"/>
        <w:left w:val="none" w:sz="0" w:space="0" w:color="auto"/>
        <w:bottom w:val="none" w:sz="0" w:space="0" w:color="auto"/>
        <w:right w:val="none" w:sz="0" w:space="0" w:color="auto"/>
      </w:divBdr>
    </w:div>
    <w:div w:id="1543128601">
      <w:bodyDiv w:val="1"/>
      <w:marLeft w:val="0"/>
      <w:marRight w:val="0"/>
      <w:marTop w:val="0"/>
      <w:marBottom w:val="0"/>
      <w:divBdr>
        <w:top w:val="none" w:sz="0" w:space="0" w:color="auto"/>
        <w:left w:val="none" w:sz="0" w:space="0" w:color="auto"/>
        <w:bottom w:val="none" w:sz="0" w:space="0" w:color="auto"/>
        <w:right w:val="none" w:sz="0" w:space="0" w:color="auto"/>
      </w:divBdr>
    </w:div>
    <w:div w:id="1698844654">
      <w:bodyDiv w:val="1"/>
      <w:marLeft w:val="0"/>
      <w:marRight w:val="0"/>
      <w:marTop w:val="0"/>
      <w:marBottom w:val="0"/>
      <w:divBdr>
        <w:top w:val="none" w:sz="0" w:space="0" w:color="auto"/>
        <w:left w:val="none" w:sz="0" w:space="0" w:color="auto"/>
        <w:bottom w:val="none" w:sz="0" w:space="0" w:color="auto"/>
        <w:right w:val="none" w:sz="0" w:space="0" w:color="auto"/>
      </w:divBdr>
    </w:div>
    <w:div w:id="1867324992">
      <w:bodyDiv w:val="1"/>
      <w:marLeft w:val="0"/>
      <w:marRight w:val="0"/>
      <w:marTop w:val="0"/>
      <w:marBottom w:val="0"/>
      <w:divBdr>
        <w:top w:val="none" w:sz="0" w:space="0" w:color="auto"/>
        <w:left w:val="none" w:sz="0" w:space="0" w:color="auto"/>
        <w:bottom w:val="none" w:sz="0" w:space="0" w:color="auto"/>
        <w:right w:val="none" w:sz="0" w:space="0" w:color="auto"/>
      </w:divBdr>
    </w:div>
    <w:div w:id="1893425967">
      <w:bodyDiv w:val="1"/>
      <w:marLeft w:val="0"/>
      <w:marRight w:val="0"/>
      <w:marTop w:val="0"/>
      <w:marBottom w:val="0"/>
      <w:divBdr>
        <w:top w:val="none" w:sz="0" w:space="0" w:color="auto"/>
        <w:left w:val="none" w:sz="0" w:space="0" w:color="auto"/>
        <w:bottom w:val="none" w:sz="0" w:space="0" w:color="auto"/>
        <w:right w:val="none" w:sz="0" w:space="0" w:color="auto"/>
      </w:divBdr>
    </w:div>
    <w:div w:id="2025402978">
      <w:bodyDiv w:val="1"/>
      <w:marLeft w:val="0"/>
      <w:marRight w:val="0"/>
      <w:marTop w:val="0"/>
      <w:marBottom w:val="0"/>
      <w:divBdr>
        <w:top w:val="none" w:sz="0" w:space="0" w:color="auto"/>
        <w:left w:val="none" w:sz="0" w:space="0" w:color="auto"/>
        <w:bottom w:val="none" w:sz="0" w:space="0" w:color="auto"/>
        <w:right w:val="none" w:sz="0" w:space="0" w:color="auto"/>
      </w:divBdr>
    </w:div>
    <w:div w:id="2091658727">
      <w:bodyDiv w:val="1"/>
      <w:marLeft w:val="0"/>
      <w:marRight w:val="0"/>
      <w:marTop w:val="0"/>
      <w:marBottom w:val="0"/>
      <w:divBdr>
        <w:top w:val="none" w:sz="0" w:space="0" w:color="auto"/>
        <w:left w:val="none" w:sz="0" w:space="0" w:color="auto"/>
        <w:bottom w:val="none" w:sz="0" w:space="0" w:color="auto"/>
        <w:right w:val="none" w:sz="0" w:space="0" w:color="auto"/>
      </w:divBdr>
    </w:div>
    <w:div w:id="21104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Samdarshi, Mihir</dc:creator>
  <cp:keywords/>
  <dc:description/>
  <cp:lastModifiedBy>Samdarshi, Mihir</cp:lastModifiedBy>
  <cp:revision>94</cp:revision>
  <dcterms:created xsi:type="dcterms:W3CDTF">2019-01-23T03:25:00Z</dcterms:created>
  <dcterms:modified xsi:type="dcterms:W3CDTF">2019-01-24T22:28:00Z</dcterms:modified>
</cp:coreProperties>
</file>