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FB1A" w14:textId="77777777" w:rsidR="00FE50EE" w:rsidRDefault="00E271C0">
      <w:pPr>
        <w:pStyle w:val="Title"/>
      </w:pPr>
      <w:r>
        <w:t>A genomic view of African biodiversity</w:t>
      </w:r>
    </w:p>
    <w:p w14:paraId="238B048A" w14:textId="77777777" w:rsidR="00FE50EE" w:rsidRDefault="00E271C0">
      <w:pPr>
        <w:pStyle w:val="Subtitle"/>
      </w:pPr>
      <w:r>
        <w:t>Second-year progress report</w:t>
      </w:r>
    </w:p>
    <w:p w14:paraId="2739F1C9" w14:textId="77777777" w:rsidR="00FE50EE" w:rsidRDefault="00E271C0">
      <w:pPr>
        <w:pStyle w:val="Author"/>
      </w:pPr>
      <w:r>
        <w:t>Ondrej Pelanek</w:t>
      </w:r>
    </w:p>
    <w:p w14:paraId="74FD62B7" w14:textId="77777777" w:rsidR="00FE50EE" w:rsidRDefault="00E271C0">
      <w:pPr>
        <w:pStyle w:val="Supervisor"/>
      </w:pPr>
      <w:r>
        <w:rPr>
          <w:b/>
        </w:rPr>
        <w:t>Lead supervisor:</w:t>
      </w:r>
      <w:r>
        <w:t xml:space="preserve"> Prof. Andrea Manica</w:t>
      </w:r>
    </w:p>
    <w:p w14:paraId="37C0F740" w14:textId="77777777" w:rsidR="00FE50EE" w:rsidRDefault="00E271C0">
      <w:pPr>
        <w:pStyle w:val="Supervisor"/>
      </w:pPr>
      <w:r>
        <w:rPr>
          <w:b/>
        </w:rPr>
        <w:t>Co-supervisor:</w:t>
      </w:r>
      <w:r>
        <w:t xml:space="preserve"> Dr Emily Mitchell</w:t>
      </w:r>
    </w:p>
    <w:p w14:paraId="00DA13F7" w14:textId="77777777" w:rsidR="00FE50EE" w:rsidRDefault="00E271C0">
      <w:pPr>
        <w:pStyle w:val="Heading1"/>
      </w:pPr>
      <w:r>
        <w:t>1 Summary</w:t>
      </w:r>
    </w:p>
    <w:p w14:paraId="493CA9AC" w14:textId="77777777" w:rsidR="00FE50EE" w:rsidRDefault="00E271C0">
      <w:pPr>
        <w:pStyle w:val="FirstParagraph"/>
      </w:pPr>
      <w:r>
        <w:t>Understanding how past climate shaped present-day population structure is a central problem in biogeography. This project combines palaeoclimatic species distribution models with population-genomic data to test alternative spatial demographic histories across African mammals.</w:t>
      </w:r>
    </w:p>
    <w:p w14:paraId="3745F524" w14:textId="77777777" w:rsidR="00FE50EE" w:rsidRDefault="00E271C0">
      <w:pPr>
        <w:pStyle w:val="BodyText"/>
      </w:pPr>
      <w:r>
        <w:t>The example below shows the main styles used in the report while keeping this reference document deliberately short. It includes headings, normal text, a figure and caption, a small table, and a bibliography entry.</w:t>
      </w:r>
    </w:p>
    <w:p w14:paraId="11DA3A3A" w14:textId="77777777" w:rsidR="00FE50EE" w:rsidRDefault="00E271C0">
      <w:pPr>
        <w:pStyle w:val="Heading1"/>
      </w:pPr>
      <w:r>
        <w:t>2 Introduction</w:t>
      </w:r>
    </w:p>
    <w:p w14:paraId="7BF875DE" w14:textId="77777777" w:rsidR="00FE50EE" w:rsidRDefault="00E271C0">
      <w:pPr>
        <w:pStyle w:val="FirstParagraph"/>
      </w:pPr>
      <w:r>
        <w:t>Past climatic change can alter the distribution and connectivity of populations, leaving genomic signatures that persist long after environmental conditions change. The focal case study is the hartebeest (</w:t>
      </w:r>
      <w:r>
        <w:rPr>
          <w:i/>
        </w:rPr>
        <w:t>Alcelaphus buselaphus</w:t>
      </w:r>
      <w:r>
        <w:t>), for which climatic suitability was reconstructed across approximately 800,000 years.</w:t>
      </w:r>
    </w:p>
    <w:p w14:paraId="05CECBB3" w14:textId="77777777" w:rsidR="00FE50EE" w:rsidRDefault="00E271C0">
      <w:pPr>
        <w:pStyle w:val="Heading2"/>
      </w:pPr>
      <w:r>
        <w:lastRenderedPageBreak/>
        <w:t>2.1 Example methods section</w:t>
      </w:r>
    </w:p>
    <w:p w14:paraId="696943DA" w14:textId="77777777" w:rsidR="00FE50EE" w:rsidRDefault="00E271C0">
      <w:pPr>
        <w:pStyle w:val="FirstParagraph"/>
      </w:pPr>
      <w:r>
        <w:t>Occurrence records were filtered, spatially thinned and modelled using repeated multi-algorithm ensembles. Models were evaluated with spatial cross-validation and then projected through palaeoclimate time slices.</w:t>
      </w:r>
    </w:p>
    <w:p w14:paraId="065CFA62" w14:textId="77777777" w:rsidR="00FE50EE" w:rsidRDefault="00E271C0">
      <w:pPr>
        <w:pStyle w:val="Heading3"/>
      </w:pPr>
      <w:r>
        <w:t>2.1.1 Long-term climatic suitability</w:t>
      </w:r>
    </w:p>
    <w:p w14:paraId="37FE4291" w14:textId="77777777" w:rsidR="00FE50EE" w:rsidRDefault="00E271C0">
      <w:pPr>
        <w:pStyle w:val="FirstParagraph"/>
      </w:pPr>
      <w:r>
        <w:t>Long-term summaries distinguish broadly suitable areas from regions that remain suitable even during recurrent climatic lows. This short paragraph illustrates third-level heading and body-text formatting.</w:t>
      </w:r>
    </w:p>
    <w:p w14:paraId="304C7AA9" w14:textId="77777777" w:rsidR="00FE50EE" w:rsidRDefault="00E271C0">
      <w:pPr>
        <w:pStyle w:val="Heading4"/>
      </w:pPr>
      <w:r>
        <w:t>2.1.1.1 Example fourth-level heading</w:t>
      </w:r>
    </w:p>
    <w:p w14:paraId="010A71E7" w14:textId="77777777" w:rsidR="00FE50EE" w:rsidRDefault="00E271C0">
      <w:pPr>
        <w:pStyle w:val="BodyText"/>
      </w:pPr>
      <w:r>
        <w:t>This brief example shows the fourth-level heading style used for a more detailed subsection within the analytical workflow.</w:t>
      </w:r>
    </w:p>
    <w:p w14:paraId="08C0497E" w14:textId="77777777" w:rsidR="00FE50EE" w:rsidRDefault="00E271C0">
      <w:pPr>
        <w:jc w:val="center"/>
      </w:pPr>
      <w:r>
        <w:rPr>
          <w:noProof/>
        </w:rPr>
        <w:drawing>
          <wp:inline distT="0" distB="0" distL="0" distR="0" wp14:anchorId="2CBBA984" wp14:editId="3662E5F9">
            <wp:extent cx="5760720" cy="23810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1E72" w14:textId="77777777" w:rsidR="00FE50EE" w:rsidRDefault="00E271C0">
      <w:pPr>
        <w:pStyle w:val="ImageCaption"/>
      </w:pPr>
      <w:r>
        <w:t>Figure 1: Principal spatial summaries of climatic habitat suitability across the approximately 800-kyr reconstruction. (A) Temporal median; (B) interquartile range across slices; and (C) power mean, highlighting areas of persistent suitability.</w:t>
      </w:r>
    </w:p>
    <w:p w14:paraId="722CDF2E" w14:textId="77777777" w:rsidR="00FE50EE" w:rsidRDefault="00E271C0">
      <w:pPr>
        <w:pStyle w:val="Heading2"/>
      </w:pPr>
      <w:r>
        <w:lastRenderedPageBreak/>
        <w:t>2.2 Example results section</w:t>
      </w:r>
    </w:p>
    <w:p w14:paraId="3E7ACF1D" w14:textId="77777777" w:rsidR="00FE50EE" w:rsidRDefault="00E271C0">
      <w:pPr>
        <w:pStyle w:val="FirstParagraph"/>
      </w:pPr>
      <w:r>
        <w:t>Suitable habitat remained extensive through time, although its position and continuity changed repeatedly. The figure illustrates how a compact caption sits beneath a publication-style multi-panel figure.</w:t>
      </w:r>
    </w:p>
    <w:p w14:paraId="0868587D" w14:textId="77777777" w:rsidR="00FE50EE" w:rsidRDefault="00E271C0">
      <w:pPr>
        <w:pStyle w:val="Heading1"/>
      </w:pPr>
      <w:r>
        <w:t>3 Planned work</w:t>
      </w:r>
    </w:p>
    <w:p w14:paraId="26177BCB" w14:textId="77777777" w:rsidR="00FE50EE" w:rsidRDefault="00E271C0">
      <w:pPr>
        <w:pStyle w:val="FirstParagraph"/>
      </w:pPr>
      <w:r>
        <w:t>The next stage will apply the same climate-informed framework to additional species while maintaining a realistic scope for the remaining thesis chapters.</w:t>
      </w:r>
    </w:p>
    <w:p w14:paraId="6DF4E00D" w14:textId="77777777" w:rsidR="00FE50EE" w:rsidRDefault="00E271C0">
      <w:pPr>
        <w:pStyle w:val="TableCaption"/>
      </w:pPr>
      <w:r>
        <w:t>Table 1: Example timetable.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50EE" w14:paraId="4951D40E" w14:textId="77777777" w:rsidTr="00FE5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66445399" w14:textId="77777777" w:rsidR="00FE50EE" w:rsidRDefault="00E271C0">
            <w:r>
              <w:t>Period</w:t>
            </w:r>
          </w:p>
        </w:tc>
        <w:tc>
          <w:tcPr>
            <w:tcW w:w="3120" w:type="dxa"/>
          </w:tcPr>
          <w:p w14:paraId="6647FE9B" w14:textId="77777777" w:rsidR="00FE50EE" w:rsidRDefault="00E271C0">
            <w:r>
              <w:t>Chapter</w:t>
            </w:r>
          </w:p>
        </w:tc>
        <w:tc>
          <w:tcPr>
            <w:tcW w:w="3120" w:type="dxa"/>
          </w:tcPr>
          <w:p w14:paraId="72FF5AF8" w14:textId="77777777" w:rsidR="00FE50EE" w:rsidRDefault="00E271C0">
            <w:r>
              <w:t>Main task</w:t>
            </w:r>
          </w:p>
        </w:tc>
      </w:tr>
      <w:tr w:rsidR="00FE50EE" w14:paraId="657B825B" w14:textId="77777777" w:rsidTr="00FE50EE">
        <w:tc>
          <w:tcPr>
            <w:tcW w:w="3120" w:type="dxa"/>
          </w:tcPr>
          <w:p w14:paraId="6340EF95" w14:textId="77777777" w:rsidR="00FE50EE" w:rsidRDefault="00E271C0">
            <w:r>
              <w:t>2026–2027</w:t>
            </w:r>
          </w:p>
        </w:tc>
        <w:tc>
          <w:tcPr>
            <w:tcW w:w="3120" w:type="dxa"/>
          </w:tcPr>
          <w:p w14:paraId="4D340071" w14:textId="77777777" w:rsidR="00FE50EE" w:rsidRDefault="00E271C0">
            <w:r>
              <w:t>Herbivores</w:t>
            </w:r>
          </w:p>
        </w:tc>
        <w:tc>
          <w:tcPr>
            <w:tcW w:w="3120" w:type="dxa"/>
          </w:tcPr>
          <w:p w14:paraId="5F01DCAB" w14:textId="77777777" w:rsidR="00FE50EE" w:rsidRDefault="00E271C0">
            <w:r>
              <w:t>Complete CISGeM analyses</w:t>
            </w:r>
          </w:p>
        </w:tc>
      </w:tr>
      <w:tr w:rsidR="00FE50EE" w14:paraId="39F75F62" w14:textId="77777777" w:rsidTr="00FE50EE">
        <w:tc>
          <w:tcPr>
            <w:tcW w:w="3120" w:type="dxa"/>
          </w:tcPr>
          <w:p w14:paraId="4E44CF06" w14:textId="77777777" w:rsidR="00FE50EE" w:rsidRDefault="00E271C0">
            <w:r>
              <w:t>2027–2028</w:t>
            </w:r>
          </w:p>
        </w:tc>
        <w:tc>
          <w:tcPr>
            <w:tcW w:w="3120" w:type="dxa"/>
          </w:tcPr>
          <w:p w14:paraId="40C6FD95" w14:textId="77777777" w:rsidR="00FE50EE" w:rsidRDefault="00E271C0">
            <w:r>
              <w:t>Carnivores</w:t>
            </w:r>
          </w:p>
        </w:tc>
        <w:tc>
          <w:tcPr>
            <w:tcW w:w="3120" w:type="dxa"/>
          </w:tcPr>
          <w:p w14:paraId="2CFB2641" w14:textId="77777777" w:rsidR="00FE50EE" w:rsidRDefault="00E271C0">
            <w:r>
              <w:t>Extend comparative framework</w:t>
            </w:r>
          </w:p>
        </w:tc>
      </w:tr>
    </w:tbl>
    <w:p w14:paraId="62130F49" w14:textId="77777777" w:rsidR="00FE50EE" w:rsidRDefault="00E271C0">
      <w:pPr>
        <w:pStyle w:val="Heading1"/>
      </w:pPr>
      <w:r>
        <w:t>4 References</w:t>
      </w:r>
    </w:p>
    <w:p w14:paraId="103E57D0" w14:textId="77777777" w:rsidR="00FE50EE" w:rsidRDefault="00E271C0">
      <w:pPr>
        <w:pStyle w:val="Bibliography"/>
      </w:pPr>
      <w:r>
        <w:t>Krapp, M., Beyer, R. M., Edmundson, S. L., Valdes, P. J., and Manica, A. 2021. A statistics-based reconstruction of high-resolution global terrestrial climate for the last 800,000 years. Scientific Data 8: 228.</w:t>
      </w:r>
    </w:p>
    <w:p w14:paraId="42BB7671" w14:textId="77777777" w:rsidR="00FE50EE" w:rsidRDefault="00E271C0">
      <w:pPr>
        <w:pStyle w:val="Bibliography"/>
      </w:pPr>
      <w:r>
        <w:t>Leonardi, M., Colucci, M., Pozzi, A. V., Scerri, E. M. L., and Manica, A. 2024. tidysdm: Leveraging the flexibility of tidymodels for species distribution modelling in R. Methods in Ecology and Evolution 15: 1789–1795.</w:t>
      </w:r>
    </w:p>
    <w:sectPr w:rsidR="00FE50EE">
      <w:footerReference w:type="default" r:id="rIdFooter1"/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6CC2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7453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7556"/>
    <w:rsid w:val="00244B96"/>
    <w:rsid w:val="00376973"/>
    <w:rsid w:val="004F10AE"/>
    <w:rsid w:val="00B97556"/>
    <w:rsid w:val="00DC42F2"/>
    <w:rsid w:val="00E271C0"/>
    <w:rsid w:val="00FE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1AAA2"/>
  <w15:docId w15:val="{690ECCFB-8336-4B5D-AC13-0DB53F4E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720" w:after="360"/>
      <w:outlineLvl w:val="0"/>
    </w:pPr>
    <w:rPr>
      <w:rFonts w:eastAsiaTheme="majorEastAsia" w:cstheme="minorHAnsi"/>
      <w:b/>
      <w:color w:val="000000"/>
      <w:sz w:val="36"/>
      <w:szCs w:val="36"/>
      <w:lang w:val="en-GB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600" w:after="240"/>
      <w:ind w:left="357" w:hanging="357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480"/>
      <w:outlineLvl w:val="2"/>
    </w:pPr>
    <w:rPr>
      <w:color w:val="000000"/>
      <w:sz w:val="30"/>
      <w:szCs w:val="3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60" w:after="120"/>
      <w:outlineLvl w:val="3"/>
    </w:pPr>
    <w:rPr>
      <w:rFonts w:eastAsiaTheme="majorEastAsia" w:cstheme="minorHAnsi"/>
      <w:b/>
      <w:bCs/>
      <w:color w:val="000000"/>
      <w:sz w:val="26"/>
      <w:szCs w:val="28"/>
      <w:lang w:val="en-GB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customStyle="1" w:styleId="FirstParagraph">
    <w:name w:val="First Paragraph"/>
    <w:basedOn w:val="BodyText"/>
    <w:next w:val="BodyText"/>
    <w:qFormat/>
    <w:pPr>
      <w:spacing w:after="160" w:line="259" w:lineRule="auto"/>
    </w:pPr>
  </w:style>
  <w:style w:type="paragraph" w:customStyle="1" w:styleId="Compact">
    <w:name w:val="Compact"/>
    <w:basedOn w:val="BodyText"/>
    <w:qFormat/>
    <w:pPr>
      <w:spacing w:before="36" w:after="36"/>
    </w:pPr>
    <w:rPr>
      <w:sz w:val="17"/>
      <w:szCs w:val="17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00"/>
      <w:contextualSpacing/>
      <w:jc w:val="center"/>
    </w:pPr>
    <w:rPr>
      <w:rFonts w:asciiTheme="majorHAnsi" w:eastAsiaTheme="majorHAnsi" w:hAnsiTheme="majorHAnsi"/>
      <w:b/>
      <w:bCs/>
      <w:color w:val="000000"/>
      <w:sz w:val="48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60"/>
    </w:pPr>
    <w:rPr>
      <w:rFonts w:asciiTheme="minorHAnsi" w:eastAsiaTheme="minorHAnsi" w:hAnsiTheme="minorHAns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240"/>
    </w:pPr>
    <w:rPr>
      <w:rFonts w:asciiTheme="minorHAnsi" w:eastAsiaTheme="minorHAnsi" w:hAnsiTheme="minorHAnsi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0"/>
    </w:pPr>
    <w:rPr>
      <w:rFonts w:asciiTheme="minorHAnsi" w:eastAsiaTheme="minorHAnsi" w:hAnsiTheme="minorHAnsi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b/>
      <w:i w:val="0"/>
      <w:iCs/>
      <w:color w:val="00000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uppressLineNumbers/>
      <w:spacing w:before="80" w:line="240" w:lineRule="auto"/>
    </w:pPr>
    <w:rPr>
      <w:rFonts w:ascii="Calibri" w:eastAsia="Calibri" w:hAnsi="Calibri" w:cs="Noto Sans Devanagari"/>
      <w:iCs/>
      <w:color w:val="000000"/>
      <w:sz w:val="20"/>
      <w:szCs w:val="24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customStyle="1" w:styleId="Supervisor">
    <w:name w:val="Supervisor"/>
    <w:basedOn w:val="Normal"/>
    <w:pPr>
      <w:spacing w:before="160" w:after="60"/>
      <w:jc w:val="center"/>
    </w:pPr>
    <w:rPr>
      <w:rFonts w:ascii="Calibri" w:eastAsia="Calibri" w:hAnsi="Calibri"/>
      <w:color w:val="000000"/>
    </w:rPr>
  </w:style>
  <w:style w:type="paragraph" w:customStyle="1" w:styleId="ReportCaption">
    <w:name w:val="ReportCaption"/>
    <w:basedOn w:val="BodyText"/>
    <w:pPr>
      <w:keepLines/>
    </w:pPr>
    <w:rPr>
      <w:color w:val="595959"/>
      <w:sz w:val="18"/>
    </w:rPr>
  </w:style>
  <w:style w:type="paragraph" w:customStyle="1" w:styleId="ReportTableCaption">
    <w:name w:val="ReportTableCaption"/>
    <w:basedOn w:val="ReportCaption"/>
    <w:next w:val="Normal"/>
    <w:pPr>
      <w:keepNext/>
      <w:spacing w:before="320" w:after="80"/>
    </w:pPr>
  </w:style>
  <w:style w:type="paragraph" w:customStyle="1" w:styleId="ReportFigure">
    <w:name w:val="ReportFigure"/>
    <w:basedOn w:val="Normal"/>
    <w:next w:val="ReportCaption"/>
    <w:pPr>
      <w:keepNext/>
      <w:keepLines/>
      <w:spacing w:before="120" w:after="60"/>
    </w:pPr>
  </w:style>
  <w:style w:type="paragraph" w:customStyle="1" w:styleId="TableKeep">
    <w:name w:val="TableKeep"/>
    <w:basedOn w:val="Compact"/>
    <w:pPr>
      <w:keepNext/>
      <w:keepLines/>
    </w:pPr>
  </w:style>
  <w:style w:type="paragraph" w:styleId="TOC1">
    <w:name w:val="toc 1"/>
    <w:basedOn w:val="Normal"/>
    <w:next w:val="Normal"/>
    <w:autoRedefine/>
    <w:rsid w:val="00244B96"/>
    <w:pPr>
      <w:spacing w:after="40"/>
    </w:pPr>
  </w:style>
  <w:style w:type="paragraph" w:styleId="TOC2">
    <w:name w:val="toc 2"/>
    <w:basedOn w:val="Normal"/>
    <w:next w:val="Normal"/>
    <w:autoRedefine/>
    <w:rsid w:val="00244B96"/>
    <w:pPr>
      <w:spacing w:after="4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Foote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genomic view of African biodiversity</dc:title>
  <dc:creator>Ondrej Pelanek</dc:creator>
  <cp:keywords/>
  <cp:lastModifiedBy>Ondrej Pelanek</cp:lastModifiedBy>
  <cp:revision>3</cp:revision>
  <dcterms:created xsi:type="dcterms:W3CDTF">2026-08-28T06:12:00Z</dcterms:created>
  <dcterms:modified xsi:type="dcterms:W3CDTF">2026-10-09T10:01:00Z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second_year_report_references.bib</vt:lpwstr>
  </property>
  <property fmtid="{D5CDD505-2E9C-101B-9397-08002B2CF9AE}" pid="3" name="link-citations">
    <vt:lpwstr>True</vt:lpwstr>
  </property>
  <property fmtid="{D5CDD505-2E9C-101B-9397-08002B2CF9AE}" pid="4" name="output">
    <vt:lpwstr/>
  </property>
  <property fmtid="{D5CDD505-2E9C-101B-9397-08002B2CF9AE}" pid="5" name="subtitle">
    <vt:lpwstr>Second-year progress report</vt:lpwstr>
  </property>
</Properties>
</file>