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5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63.png" ContentType="image/png"/>
  <Override PartName="/word/media/rId145.png" ContentType="image/png"/>
  <Override PartName="/word/media/rId135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pootečených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  <w:r>
        <w:t xml:space="preserve"> </w:t>
      </w:r>
      <w:r>
        <w:t xml:space="preserve">- 2 typy:</w:t>
      </w:r>
      <w:r>
        <w:t xml:space="preserve"> </w:t>
      </w:r>
      <w:r>
        <w:t xml:space="preserve">- TN - v klidovém stavu svítí</w:t>
      </w:r>
      <w:r>
        <w:t xml:space="preserve"> </w:t>
      </w:r>
      <w:r>
        <w:t xml:space="preserve">- 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68"/>
        </w:numPr>
        <w:pStyle w:val="Compact"/>
      </w:pPr>
      <w:r>
        <w:t xml:space="preserve">Výhody:</w:t>
      </w:r>
    </w:p>
    <w:p>
      <w:pPr>
        <w:numPr>
          <w:ilvl w:val="1"/>
          <w:numId w:val="1169"/>
        </w:numPr>
        <w:pStyle w:val="Compact"/>
      </w:pPr>
      <w:r>
        <w:t xml:space="preserve">Kvalita obrazu</w:t>
      </w:r>
    </w:p>
    <w:p>
      <w:pPr>
        <w:numPr>
          <w:ilvl w:val="1"/>
          <w:numId w:val="1169"/>
        </w:numPr>
        <w:pStyle w:val="Compact"/>
      </w:pPr>
      <w:r>
        <w:t xml:space="preserve">Životnost</w:t>
      </w:r>
    </w:p>
    <w:p>
      <w:pPr>
        <w:numPr>
          <w:ilvl w:val="1"/>
          <w:numId w:val="1169"/>
        </w:numPr>
        <w:pStyle w:val="Compact"/>
      </w:pPr>
      <w:r>
        <w:t xml:space="preserve">Spotřeba energie</w:t>
      </w:r>
    </w:p>
    <w:p>
      <w:pPr>
        <w:numPr>
          <w:ilvl w:val="1"/>
          <w:numId w:val="1169"/>
        </w:numPr>
        <w:pStyle w:val="Compact"/>
      </w:pPr>
      <w:r>
        <w:t xml:space="preserve">Odrazivost</w:t>
      </w:r>
    </w:p>
    <w:p>
      <w:pPr>
        <w:numPr>
          <w:ilvl w:val="1"/>
          <w:numId w:val="1169"/>
        </w:numPr>
        <w:pStyle w:val="Compact"/>
      </w:pPr>
      <w:r>
        <w:t xml:space="preserve">Bez emisí</w:t>
      </w:r>
    </w:p>
    <w:p>
      <w:pPr>
        <w:numPr>
          <w:ilvl w:val="0"/>
          <w:numId w:val="1168"/>
        </w:numPr>
        <w:pStyle w:val="Compact"/>
      </w:pPr>
      <w:r>
        <w:t xml:space="preserve">Nevýhody:</w:t>
      </w:r>
    </w:p>
    <w:p>
      <w:pPr>
        <w:numPr>
          <w:ilvl w:val="1"/>
          <w:numId w:val="1170"/>
        </w:numPr>
        <w:pStyle w:val="Compact"/>
      </w:pPr>
      <w:r>
        <w:t xml:space="preserve">Citlivost na teplotu</w:t>
      </w:r>
    </w:p>
    <w:p>
      <w:pPr>
        <w:numPr>
          <w:ilvl w:val="1"/>
          <w:numId w:val="1170"/>
        </w:numPr>
        <w:pStyle w:val="Compact"/>
      </w:pPr>
      <w:r>
        <w:t xml:space="preserve">Pevné rozlišení</w:t>
      </w:r>
    </w:p>
    <w:p>
      <w:pPr>
        <w:numPr>
          <w:ilvl w:val="1"/>
          <w:numId w:val="1170"/>
        </w:numPr>
        <w:pStyle w:val="Compact"/>
      </w:pPr>
      <w:r>
        <w:t xml:space="preserve">Vadné pixely</w:t>
      </w:r>
    </w:p>
    <w:p>
      <w:pPr>
        <w:numPr>
          <w:ilvl w:val="1"/>
          <w:numId w:val="1170"/>
        </w:numPr>
        <w:pStyle w:val="Compact"/>
      </w:pPr>
      <w:r>
        <w:t xml:space="preserve">Doba odezvy</w:t>
      </w:r>
    </w:p>
    <w:p>
      <w:pPr>
        <w:numPr>
          <w:ilvl w:val="1"/>
          <w:numId w:val="1170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1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2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2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2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3"/>
        </w:numPr>
        <w:pStyle w:val="Compact"/>
      </w:pPr>
      <w:r>
        <w:t xml:space="preserve">Výhody:</w:t>
      </w:r>
    </w:p>
    <w:p>
      <w:pPr>
        <w:numPr>
          <w:ilvl w:val="1"/>
          <w:numId w:val="1174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4"/>
        </w:numPr>
        <w:pStyle w:val="Compact"/>
      </w:pPr>
      <w:r>
        <w:t xml:space="preserve">Vysoký kontrast</w:t>
      </w:r>
    </w:p>
    <w:p>
      <w:pPr>
        <w:numPr>
          <w:ilvl w:val="1"/>
          <w:numId w:val="1174"/>
        </w:numPr>
        <w:pStyle w:val="Compact"/>
      </w:pPr>
      <w:r>
        <w:t xml:space="preserve">Tenké</w:t>
      </w:r>
    </w:p>
    <w:p>
      <w:pPr>
        <w:numPr>
          <w:ilvl w:val="1"/>
          <w:numId w:val="1174"/>
        </w:numPr>
        <w:pStyle w:val="Compact"/>
      </w:pPr>
      <w:r>
        <w:t xml:space="preserve">Nízka spotřeba</w:t>
      </w:r>
    </w:p>
    <w:p>
      <w:pPr>
        <w:numPr>
          <w:ilvl w:val="1"/>
          <w:numId w:val="1174"/>
        </w:numPr>
        <w:pStyle w:val="Compact"/>
      </w:pPr>
      <w:r>
        <w:t xml:space="preserve">Dobrý pozorovací úhel</w:t>
      </w:r>
    </w:p>
    <w:p>
      <w:pPr>
        <w:numPr>
          <w:ilvl w:val="1"/>
          <w:numId w:val="1174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3"/>
        </w:numPr>
        <w:pStyle w:val="Compact"/>
      </w:pPr>
      <w:r>
        <w:t xml:space="preserve">Nevýhody:</w:t>
      </w:r>
    </w:p>
    <w:p>
      <w:pPr>
        <w:numPr>
          <w:ilvl w:val="1"/>
          <w:numId w:val="1175"/>
        </w:numPr>
        <w:pStyle w:val="Compact"/>
      </w:pPr>
      <w:r>
        <w:t xml:space="preserve">Vyšší cena</w:t>
      </w:r>
    </w:p>
    <w:p>
      <w:pPr>
        <w:numPr>
          <w:ilvl w:val="1"/>
          <w:numId w:val="1175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5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6"/>
        </w:numPr>
        <w:pStyle w:val="Compact"/>
      </w:pPr>
      <w:r>
        <w:t xml:space="preserve">Elektřina je potřeba jen pro refresh (mal proud, 5-15V)</w:t>
      </w:r>
    </w:p>
    <w:p>
      <w:pPr>
        <w:numPr>
          <w:ilvl w:val="0"/>
          <w:numId w:val="1176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6"/>
        </w:numPr>
        <w:pStyle w:val="Compact"/>
      </w:pPr>
      <w:r>
        <w:t xml:space="preserve">Horní elektrody musí bt průsvitné</w:t>
      </w:r>
    </w:p>
    <w:p>
      <w:pPr>
        <w:numPr>
          <w:ilvl w:val="0"/>
          <w:numId w:val="1176"/>
        </w:numPr>
        <w:pStyle w:val="Compact"/>
      </w:pPr>
      <w:r>
        <w:t xml:space="preserve">Princip:</w:t>
      </w:r>
    </w:p>
    <w:p>
      <w:pPr>
        <w:numPr>
          <w:ilvl w:val="1"/>
          <w:numId w:val="1177"/>
        </w:numPr>
        <w:pStyle w:val="Compact"/>
      </w:pPr>
      <w:r>
        <w:t xml:space="preserve">V průhlednch kapslích jsou obsaženy kladné a záporné částice různých barev (většinou černá a bílá)</w:t>
      </w:r>
    </w:p>
    <w:p>
      <w:pPr>
        <w:numPr>
          <w:ilvl w:val="1"/>
          <w:numId w:val="1177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7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78"/>
        </w:numPr>
        <w:pStyle w:val="Compact"/>
      </w:pPr>
      <w:r>
        <w:t xml:space="preserve">Výhody:</w:t>
      </w:r>
    </w:p>
    <w:p>
      <w:pPr>
        <w:numPr>
          <w:ilvl w:val="1"/>
          <w:numId w:val="1179"/>
        </w:numPr>
        <w:pStyle w:val="Compact"/>
      </w:pPr>
      <w:r>
        <w:t xml:space="preserve">Vysoké rozlišení</w:t>
      </w:r>
    </w:p>
    <w:p>
      <w:pPr>
        <w:numPr>
          <w:ilvl w:val="1"/>
          <w:numId w:val="1179"/>
        </w:numPr>
        <w:pStyle w:val="Compact"/>
      </w:pPr>
      <w:r>
        <w:t xml:space="preserve">Dobrá čitelnost</w:t>
      </w:r>
    </w:p>
    <w:p>
      <w:pPr>
        <w:numPr>
          <w:ilvl w:val="1"/>
          <w:numId w:val="1179"/>
        </w:numPr>
        <w:pStyle w:val="Compact"/>
      </w:pPr>
      <w:r>
        <w:t xml:space="preserve">Není potřeba podsvícení</w:t>
      </w:r>
    </w:p>
    <w:p>
      <w:pPr>
        <w:numPr>
          <w:ilvl w:val="1"/>
          <w:numId w:val="1179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79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79"/>
        </w:numPr>
        <w:pStyle w:val="Compact"/>
      </w:pPr>
      <w:r>
        <w:t xml:space="preserve">Tenké</w:t>
      </w:r>
    </w:p>
    <w:p>
      <w:pPr>
        <w:numPr>
          <w:ilvl w:val="0"/>
          <w:numId w:val="1178"/>
        </w:numPr>
        <w:pStyle w:val="Compact"/>
      </w:pPr>
      <w:r>
        <w:t xml:space="preserve">Nevýhody:</w:t>
      </w:r>
    </w:p>
    <w:p>
      <w:pPr>
        <w:numPr>
          <w:ilvl w:val="1"/>
          <w:numId w:val="1180"/>
        </w:numPr>
        <w:pStyle w:val="Compact"/>
      </w:pPr>
      <w:r>
        <w:t xml:space="preserve">Dlouhý refresh (100+ms)</w:t>
      </w:r>
    </w:p>
    <w:p>
      <w:pPr>
        <w:numPr>
          <w:ilvl w:val="1"/>
          <w:numId w:val="1180"/>
        </w:numPr>
        <w:pStyle w:val="Compact"/>
      </w:pPr>
      <w:r>
        <w:t xml:space="preserve">Málo odstínu šedi</w:t>
      </w:r>
    </w:p>
    <w:p>
      <w:pPr>
        <w:numPr>
          <w:ilvl w:val="1"/>
          <w:numId w:val="1180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1"/>
        </w:numPr>
        <w:pStyle w:val="Compact"/>
      </w:pPr>
      <w:r>
        <w:t xml:space="preserve">Rozdělením elektrod</w:t>
      </w:r>
    </w:p>
    <w:p>
      <w:pPr>
        <w:numPr>
          <w:ilvl w:val="0"/>
          <w:numId w:val="1181"/>
        </w:numPr>
        <w:pStyle w:val="Compact"/>
      </w:pPr>
      <w:r>
        <w:t xml:space="preserve">V případě barev:</w:t>
      </w:r>
    </w:p>
    <w:p>
      <w:pPr>
        <w:numPr>
          <w:ilvl w:val="1"/>
          <w:numId w:val="1182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2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2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3"/>
        </w:numPr>
        <w:pStyle w:val="Compact"/>
      </w:pPr>
      <w:r>
        <w:t xml:space="preserve">Magnetické paměti</w:t>
      </w:r>
    </w:p>
    <w:p>
      <w:pPr>
        <w:numPr>
          <w:ilvl w:val="1"/>
          <w:numId w:val="1184"/>
        </w:numPr>
        <w:pStyle w:val="Compact"/>
      </w:pPr>
      <w:r>
        <w:t xml:space="preserve">Pevný disk</w:t>
      </w:r>
    </w:p>
    <w:p>
      <w:pPr>
        <w:numPr>
          <w:ilvl w:val="1"/>
          <w:numId w:val="1184"/>
        </w:numPr>
        <w:pStyle w:val="Compact"/>
      </w:pPr>
      <w:r>
        <w:t xml:space="preserve">Disketová mechanika</w:t>
      </w:r>
    </w:p>
    <w:p>
      <w:pPr>
        <w:numPr>
          <w:ilvl w:val="0"/>
          <w:numId w:val="1183"/>
        </w:numPr>
        <w:pStyle w:val="Compact"/>
      </w:pPr>
      <w:r>
        <w:t xml:space="preserve">Optické Paměti</w:t>
      </w:r>
    </w:p>
    <w:p>
      <w:pPr>
        <w:numPr>
          <w:ilvl w:val="1"/>
          <w:numId w:val="1185"/>
        </w:numPr>
        <w:pStyle w:val="Compact"/>
      </w:pPr>
      <w:r>
        <w:t xml:space="preserve">CD</w:t>
      </w:r>
    </w:p>
    <w:p>
      <w:pPr>
        <w:numPr>
          <w:ilvl w:val="1"/>
          <w:numId w:val="1185"/>
        </w:numPr>
        <w:pStyle w:val="Compact"/>
      </w:pPr>
      <w:r>
        <w:t xml:space="preserve">DVD</w:t>
      </w:r>
    </w:p>
    <w:p>
      <w:pPr>
        <w:numPr>
          <w:ilvl w:val="0"/>
          <w:numId w:val="1183"/>
        </w:numPr>
        <w:pStyle w:val="Compact"/>
      </w:pPr>
      <w:r>
        <w:t xml:space="preserve">Magnetooprické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</w:t>
      </w:r>
    </w:p>
    <w:p>
      <w:pPr>
        <w:numPr>
          <w:ilvl w:val="0"/>
          <w:numId w:val="1186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6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6"/>
        </w:numPr>
        <w:pStyle w:val="Compact"/>
      </w:pPr>
      <w:r>
        <w:t xml:space="preserve">V bodu dotyku s povrchem je štěrbina manetického obvodu (Kousek na povrchem)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7"/>
        </w:numPr>
        <w:pStyle w:val="Compact"/>
      </w:pPr>
      <w:r>
        <w:t xml:space="preserve">Podélný zápis:</w:t>
      </w:r>
    </w:p>
    <w:p>
      <w:pPr>
        <w:numPr>
          <w:ilvl w:val="1"/>
          <w:numId w:val="1188"/>
        </w:numPr>
        <w:pStyle w:val="Compact"/>
      </w:pPr>
      <w:r>
        <w:t xml:space="preserve">Menší hustota</w:t>
      </w:r>
    </w:p>
    <w:p>
      <w:pPr>
        <w:numPr>
          <w:ilvl w:val="0"/>
          <w:numId w:val="1187"/>
        </w:numPr>
        <w:pStyle w:val="Compact"/>
      </w:pPr>
      <w:r>
        <w:t xml:space="preserve">Kolmý zápis:</w:t>
      </w:r>
    </w:p>
    <w:p>
      <w:pPr>
        <w:numPr>
          <w:ilvl w:val="1"/>
          <w:numId w:val="1189"/>
        </w:numPr>
        <w:pStyle w:val="Compact"/>
      </w:pPr>
      <w:r>
        <w:t xml:space="preserve">10x větší kapacita</w:t>
      </w:r>
    </w:p>
    <w:p>
      <w:pPr>
        <w:numPr>
          <w:ilvl w:val="1"/>
          <w:numId w:val="1189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0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0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0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1"/>
        </w:numPr>
        <w:pStyle w:val="Compact"/>
      </w:pPr>
      <w:r>
        <w:t xml:space="preserve">Materiál - polykarbonát</w:t>
      </w:r>
    </w:p>
    <w:p>
      <w:pPr>
        <w:numPr>
          <w:ilvl w:val="0"/>
          <w:numId w:val="1191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1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1"/>
        </w:numPr>
        <w:pStyle w:val="Compact"/>
      </w:pPr>
      <w:r>
        <w:t xml:space="preserve">Zapisuje se laserem</w:t>
      </w:r>
    </w:p>
    <w:p>
      <w:pPr>
        <w:numPr>
          <w:ilvl w:val="0"/>
          <w:numId w:val="1191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2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2"/>
        </w:numPr>
        <w:pStyle w:val="Compact"/>
      </w:pPr>
      <w:r>
        <w:t xml:space="preserve">Rychlejší než diskety</w:t>
      </w:r>
    </w:p>
    <w:p>
      <w:pPr>
        <w:numPr>
          <w:ilvl w:val="0"/>
          <w:numId w:val="1192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2"/>
        </w:numPr>
        <w:pStyle w:val="Compact"/>
      </w:pPr>
      <w:r>
        <w:t xml:space="preserve">Čtení pomocí IR laseru</w:t>
      </w:r>
    </w:p>
    <w:p>
      <w:pPr>
        <w:numPr>
          <w:ilvl w:val="0"/>
          <w:numId w:val="1192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3"/>
        </w:numPr>
        <w:pStyle w:val="Compact"/>
      </w:pPr>
      <w:r>
        <w:t xml:space="preserve">Digital Versatile Disc</w:t>
      </w:r>
    </w:p>
    <w:p>
      <w:pPr>
        <w:numPr>
          <w:ilvl w:val="0"/>
          <w:numId w:val="1193"/>
        </w:numPr>
        <w:pStyle w:val="Compact"/>
      </w:pPr>
      <w:r>
        <w:t xml:space="preserve">Vesměs vysokokapacitní CD</w:t>
      </w:r>
    </w:p>
    <w:p>
      <w:pPr>
        <w:numPr>
          <w:ilvl w:val="0"/>
          <w:numId w:val="1193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57" w:name="cuda"/>
    <w:p>
      <w:pPr>
        <w:pStyle w:val="Heading1"/>
      </w:pPr>
      <w:r>
        <w:t xml:space="preserve">10. CUDA</w:t>
      </w:r>
    </w:p>
    <w:p>
      <w:pPr>
        <w:pStyle w:val="FirstParagraph"/>
      </w:pPr>
      <w:r>
        <w:t xml:space="preserve">Mřížka ???</w:t>
      </w:r>
    </w:p>
    <w:p>
      <w:pPr>
        <w:numPr>
          <w:ilvl w:val="0"/>
          <w:numId w:val="1194"/>
        </w:numPr>
        <w:pStyle w:val="Compact"/>
      </w:pPr>
      <w:r>
        <w:t xml:space="preserve">Rozšírení jazyka C/C++</w:t>
      </w:r>
    </w:p>
    <w:p>
      <w:pPr>
        <w:numPr>
          <w:ilvl w:val="0"/>
          <w:numId w:val="1194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4"/>
        </w:numPr>
        <w:pStyle w:val="Compact"/>
      </w:pPr>
      <w:r>
        <w:t xml:space="preserve">Warp je skupina jader</w:t>
      </w:r>
    </w:p>
    <w:p>
      <w:pPr>
        <w:numPr>
          <w:ilvl w:val="1"/>
          <w:numId w:val="1195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5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6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6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6"/>
        </w:numPr>
        <w:pStyle w:val="Compact"/>
      </w:pPr>
      <w:r>
        <w:t xml:space="preserve">GPU je navržena pro zpracování výpočetně náročný kod s omezeným počtem podmíněných skoků (Nejlépe bez IFů)</w:t>
      </w:r>
    </w:p>
    <w:p>
      <w:pPr>
        <w:pStyle w:val="FirstParagraph"/>
      </w:pPr>
      <w:r>
        <w:t xml:space="preserve">TODOOOOO cuda</w:t>
      </w:r>
    </w:p>
    <w:bookmarkEnd w:id="156"/>
    <w:bookmarkEnd w:id="157"/>
    <w:bookmarkStart w:id="167" w:name="rp2040-a-arm-cortex-a77"/>
    <w:p>
      <w:pPr>
        <w:pStyle w:val="Heading1"/>
      </w:pPr>
      <w:r>
        <w:t xml:space="preserve">11. RP2040 a ARM Cortex-A77</w:t>
      </w:r>
    </w:p>
    <w:bookmarkStart w:id="16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59" name="Picture"/>
            <a:graphic>
              <a:graphicData uri="http://schemas.openxmlformats.org/drawingml/2006/picture">
                <pic:pic>
                  <pic:nvPicPr>
                    <pic:cNvPr descr="assets/RP2040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19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19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19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197"/>
        </w:numPr>
        <w:pStyle w:val="Compact"/>
      </w:pPr>
      <w:r>
        <w:t xml:space="preserve">16MB flash paměti</w:t>
      </w:r>
    </w:p>
    <w:p>
      <w:pPr>
        <w:numPr>
          <w:ilvl w:val="0"/>
          <w:numId w:val="1197"/>
        </w:numPr>
        <w:pStyle w:val="Compact"/>
      </w:pPr>
      <w:r>
        <w:t xml:space="preserve">DMA controller</w:t>
      </w:r>
    </w:p>
    <w:p>
      <w:pPr>
        <w:numPr>
          <w:ilvl w:val="0"/>
          <w:numId w:val="1197"/>
        </w:numPr>
        <w:pStyle w:val="Compact"/>
      </w:pPr>
      <w:r>
        <w:t xml:space="preserve">Periferie:</w:t>
      </w:r>
    </w:p>
    <w:p>
      <w:pPr>
        <w:numPr>
          <w:ilvl w:val="1"/>
          <w:numId w:val="1198"/>
        </w:numPr>
        <w:pStyle w:val="Compact"/>
      </w:pPr>
      <w:r>
        <w:t xml:space="preserve">2x UART controller</w:t>
      </w:r>
    </w:p>
    <w:p>
      <w:pPr>
        <w:numPr>
          <w:ilvl w:val="1"/>
          <w:numId w:val="1198"/>
        </w:numPr>
        <w:pStyle w:val="Compact"/>
      </w:pPr>
      <w:r>
        <w:t xml:space="preserve">2x SPI controller</w:t>
      </w:r>
    </w:p>
    <w:p>
      <w:pPr>
        <w:numPr>
          <w:ilvl w:val="1"/>
          <w:numId w:val="1198"/>
        </w:numPr>
        <w:pStyle w:val="Compact"/>
      </w:pPr>
      <w:r>
        <w:t xml:space="preserve">2x I2C controller</w:t>
      </w:r>
    </w:p>
    <w:p>
      <w:pPr>
        <w:numPr>
          <w:ilvl w:val="1"/>
          <w:numId w:val="1198"/>
        </w:numPr>
        <w:pStyle w:val="Compact"/>
      </w:pPr>
      <w:r>
        <w:t xml:space="preserve">PWM conroller</w:t>
      </w:r>
    </w:p>
    <w:p>
      <w:pPr>
        <w:numPr>
          <w:ilvl w:val="1"/>
          <w:numId w:val="1198"/>
        </w:numPr>
        <w:pStyle w:val="Compact"/>
      </w:pPr>
      <w:r>
        <w:t xml:space="preserve">Watchdog</w:t>
      </w:r>
    </w:p>
    <w:p>
      <w:pPr>
        <w:numPr>
          <w:ilvl w:val="1"/>
          <w:numId w:val="1198"/>
        </w:numPr>
        <w:pStyle w:val="Compact"/>
      </w:pPr>
      <w:r>
        <w:t xml:space="preserve">RTC</w:t>
      </w:r>
    </w:p>
    <w:bookmarkEnd w:id="161"/>
    <w:bookmarkStart w:id="16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199"/>
        </w:numPr>
        <w:pStyle w:val="Compact"/>
      </w:pPr>
      <w:r>
        <w:t xml:space="preserve">nad 3GHz</w:t>
      </w:r>
    </w:p>
    <w:p>
      <w:pPr>
        <w:numPr>
          <w:ilvl w:val="0"/>
          <w:numId w:val="119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199"/>
        </w:numPr>
        <w:pStyle w:val="Compact"/>
      </w:pPr>
      <w:r>
        <w:t xml:space="preserve">64bit</w:t>
      </w:r>
    </w:p>
    <w:p>
      <w:pPr>
        <w:numPr>
          <w:ilvl w:val="0"/>
          <w:numId w:val="1199"/>
        </w:numPr>
        <w:pStyle w:val="Compact"/>
      </w:pPr>
      <w:r>
        <w:t xml:space="preserve">Vydán v roce 2019</w:t>
      </w:r>
    </w:p>
    <w:p>
      <w:pPr>
        <w:numPr>
          <w:ilvl w:val="0"/>
          <w:numId w:val="119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199"/>
        </w:numPr>
        <w:pStyle w:val="Compact"/>
      </w:pPr>
      <w:r>
        <w:t xml:space="preserve">L1, L2 a L3 cache</w:t>
      </w:r>
    </w:p>
    <w:p>
      <w:pPr>
        <w:numPr>
          <w:ilvl w:val="0"/>
          <w:numId w:val="1199"/>
        </w:numPr>
        <w:pStyle w:val="Compact"/>
      </w:pPr>
      <w:r>
        <w:t xml:space="preserve">FPU</w:t>
      </w:r>
    </w:p>
    <w:p>
      <w:pPr>
        <w:numPr>
          <w:ilvl w:val="0"/>
          <w:numId w:val="119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19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199"/>
        </w:numPr>
        <w:pStyle w:val="Compact"/>
      </w:pPr>
      <w:hyperlink r:id="rId16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64" name="Picture"/>
            <a:graphic>
              <a:graphicData uri="http://schemas.openxmlformats.org/drawingml/2006/picture">
                <pic:pic>
                  <pic:nvPicPr>
                    <pic:cNvPr descr="assets/cortex-a77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66"/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58" Target="media/rId15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63" Target="media/rId163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6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6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2022-06-21T16:04:58Z</dcterms:created>
  <dcterms:modified xsi:type="dcterms:W3CDTF">2022-06-21T16:04:58Z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