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jc w:val="center"/>
        <w:rPr>
          <w:b w:val="1"/>
          <w:sz w:val="36"/>
          <w:szCs w:val="36"/>
          <w:highlight w:val="white"/>
        </w:rPr>
      </w:pPr>
      <w:bookmarkStart w:colFirst="0" w:colLast="0" w:name="_gjlt28219n7g" w:id="0"/>
      <w:bookmarkEnd w:id="0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Konstanty, Statické metody a vlastnosti, Anonymní metody (Lambda)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>
          <w:b w:val="1"/>
          <w:sz w:val="36"/>
          <w:szCs w:val="36"/>
          <w:highlight w:val="white"/>
        </w:rPr>
      </w:pPr>
      <w:bookmarkStart w:colFirst="0" w:colLast="0" w:name="_th6pcijmoau6" w:id="1"/>
      <w:bookmarkEnd w:id="1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Statické metody a vlastnosti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Nejprve si řekneme, co vlastně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static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znamená. Znamená to, že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nemusí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být vytvořena instance třídy(třeba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new Auto()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), aby se se dokázal static zavolat. </w:t>
      </w:r>
    </w:p>
    <w:p w:rsidR="00000000" w:rsidDel="00000000" w:rsidP="00000000" w:rsidRDefault="00000000" w:rsidRPr="00000000" w14:paraId="0000000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Když chceme zavolat static tak to jde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pouze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přes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[jméno třídy].[jméno statické proměnné]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Slovíčka static lze dát skoro před všechny proměnné jako jsou: 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pole, metody, vlastnosti, operátory, eventy a konstruktory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Při deklarování statické třídy, lze do třídy uplatňovat jen proměnné a metody, která jsou také static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4050" cy="3962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Static patří ke třídě ale né k instanci třídy. Z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[jméno třídy].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nelze přistupovat k objektovým proměnným ani metodám, lze jen přistoupit k statickým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Instance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třídy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dokáže pracovat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se statickou proměnnou i metodou, ale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naopak to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nejde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4050" cy="34290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219700" cy="31432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rPr>
          <w:b w:val="1"/>
          <w:sz w:val="36"/>
          <w:szCs w:val="36"/>
          <w:highlight w:val="white"/>
        </w:rPr>
      </w:pPr>
      <w:bookmarkStart w:colFirst="0" w:colLast="0" w:name="_kfhb33jyppxa" w:id="2"/>
      <w:bookmarkEnd w:id="2"/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Konstanty</w:t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Konstanty jsou neměnné hodnoty. Chová se jako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statická proměnná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(Takže se volá jako JmenoTřídy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.JménoKonstanty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 Jsou známy při kompilování programu a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po celou dobu běhu programu se nemění a nedá se změnit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Konstanty mohou být jen basic typy jako jsou (int, long, string, char,..). Nemůže se do konstant ukládat složité objekty, pole a třídy a uživatelem vytvořené entity.</w:t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Metody a ani eventy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nemohou být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konstanty</w:t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Deklaruje se slovíčkem 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const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a pojmenovávají se většinou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velkými písmeny</w:t>
      </w:r>
    </w:p>
    <w:p w:rsidR="00000000" w:rsidDel="00000000" w:rsidP="00000000" w:rsidRDefault="00000000" w:rsidRPr="00000000" w14:paraId="0000001C">
      <w:pPr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Dále se na slovíčko přibaluje:</w:t>
      </w:r>
    </w:p>
    <w:p w:rsidR="00000000" w:rsidDel="00000000" w:rsidP="00000000" w:rsidRDefault="00000000" w:rsidRPr="00000000" w14:paraId="0000001E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[public/private]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const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[datový typ]</w:t>
      </w:r>
      <w:r w:rsidDel="00000000" w:rsidR="00000000" w:rsidRPr="00000000">
        <w:rPr>
          <w:b w:val="1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jméno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= hodnota typu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Konstanty se volají buďto normálně přímo ve třídě což je:  </w:t>
      </w:r>
    </w:p>
    <w:p w:rsidR="00000000" w:rsidDel="00000000" w:rsidP="00000000" w:rsidRDefault="00000000" w:rsidRPr="00000000" w14:paraId="00000021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JménoKonstanty</w:t>
      </w:r>
    </w:p>
    <w:p w:rsidR="00000000" w:rsidDel="00000000" w:rsidP="00000000" w:rsidRDefault="00000000" w:rsidRPr="00000000" w14:paraId="00000022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nebo přes:</w:t>
      </w:r>
    </w:p>
    <w:p w:rsidR="00000000" w:rsidDel="00000000" w:rsidP="00000000" w:rsidRDefault="00000000" w:rsidRPr="00000000" w14:paraId="00000023">
      <w:pPr>
        <w:ind w:firstLine="72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Třída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.JménoKonstanty</w:t>
      </w:r>
    </w:p>
    <w:p w:rsidR="00000000" w:rsidDel="00000000" w:rsidP="00000000" w:rsidRDefault="00000000" w:rsidRPr="00000000" w14:paraId="0000002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3381375" cy="1047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Třeba při returnu</w:t>
      </w:r>
    </w:p>
    <w:p w:rsidR="00000000" w:rsidDel="00000000" w:rsidP="00000000" w:rsidRDefault="00000000" w:rsidRPr="00000000" w14:paraId="00000026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752975" cy="523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Příklad konstant:</w:t>
      </w:r>
    </w:p>
    <w:p w:rsidR="00000000" w:rsidDel="00000000" w:rsidP="00000000" w:rsidRDefault="00000000" w:rsidRPr="00000000" w14:paraId="0000002A">
      <w:pPr>
        <w:rPr>
          <w:i w:val="1"/>
          <w:sz w:val="28"/>
          <w:szCs w:val="28"/>
          <w:highlight w:val="white"/>
        </w:rPr>
      </w:pPr>
      <w:r w:rsidDel="00000000" w:rsidR="00000000" w:rsidRPr="00000000">
        <w:rPr>
          <w:i w:val="1"/>
          <w:sz w:val="28"/>
          <w:szCs w:val="28"/>
          <w:highlight w:val="white"/>
          <w:rtl w:val="0"/>
        </w:rPr>
        <w:t xml:space="preserve">Představte si, že máte danou neměnnou cestu k souboru a chcete vždy do souboru zapsat a uložit.</w:t>
      </w:r>
    </w:p>
    <w:p w:rsidR="00000000" w:rsidDel="00000000" w:rsidP="00000000" w:rsidRDefault="00000000" w:rsidRPr="00000000" w14:paraId="0000002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734050" cy="3098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Konstantou máš danou počet maximálních pokusů (docela věc, co se nemění) a můžete začít kontrolovat</w:t>
      </w:r>
    </w:p>
    <w:p w:rsidR="00000000" w:rsidDel="00000000" w:rsidP="00000000" w:rsidRDefault="00000000" w:rsidRPr="00000000" w14:paraId="0000002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PS: lepší to je zapsat tak jak to je, ale zakomentované také není špatně</w:t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4171950" cy="3257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Anonymní metody aka Lambda</w:t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Odkaz od Jindry: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https://itnext.io/delegates-anonymous-methods-and-lambda-expressions-5ea4e56bbd05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Anonymní metody používají delegáty (převážně slovíčko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Func&lt;&gt;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nebo když nechceme výstup, tak se používá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Action&lt;&gt;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Deklaruje se takto: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Func&lt;&gt;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jméno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=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(vstupní proměnné) =&gt; chtěná akce</w:t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také dokáže mít při deklaraci tělíčko pro rozsáhlejší akce 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Func&lt;&gt;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jméno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= (vstupní proměnné) =&gt; 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{ </w:t>
      </w:r>
    </w:p>
    <w:p w:rsidR="00000000" w:rsidDel="00000000" w:rsidP="00000000" w:rsidRDefault="00000000" w:rsidRPr="00000000" w14:paraId="0000003E">
      <w:pPr>
        <w:ind w:firstLine="72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váš kód</w:t>
      </w:r>
    </w:p>
    <w:p w:rsidR="00000000" w:rsidDel="00000000" w:rsidP="00000000" w:rsidRDefault="00000000" w:rsidRPr="00000000" w14:paraId="0000003F">
      <w:pPr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}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Dělá se skrz anonymní metody LINQ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Výraz (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a) =&gt; a * a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je tzv.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Lambda výraz.</w:t>
      </w:r>
      <w:r w:rsidDel="00000000" w:rsidR="00000000" w:rsidRPr="00000000">
        <w:rPr>
          <w:b w:val="1"/>
          <w:color w:val="454c55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Tento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“=&gt;”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 nazývá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Lambda operátor.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V tomto příkladu je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vstupní parametr k anonymní funkci a vrací jako výstupní hodnotu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 * 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Takže když je zavolán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ObsahCtverce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se vstupní proměnnou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6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, tak nám to vrátí číslo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36.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4229100" cy="1743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Jak zde můžeme vidět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Func&lt;int, int&gt;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, první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je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vstupní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proměnná a druhý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int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(vždy ten poslední) je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výstupní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proměnná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Anonymní metoda se dá rozepsat i do tělíčka, jak bylo zmiňováno předtím. Použiju jako příklad obsah obdelníka. Ten má 2 vstupy a jeden výstup, Takže se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Func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musí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zvětšit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o jednu vstupní proměnnou.</w:t>
      </w:r>
    </w:p>
    <w:p w:rsidR="00000000" w:rsidDel="00000000" w:rsidP="00000000" w:rsidRDefault="00000000" w:rsidRPr="00000000" w14:paraId="0000004B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První je zjednodušený zápis a druhý je zápis s tělíčkem metody, můžete si všimnout, že se výsledky nemění, páč je to stejné</w:t>
      </w:r>
    </w:p>
    <w:p w:rsidR="00000000" w:rsidDel="00000000" w:rsidP="00000000" w:rsidRDefault="00000000" w:rsidRPr="00000000" w14:paraId="0000004D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5391150" cy="334327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Lambda operátory lze použít i při psaní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getů/setů</w:t>
      </w:r>
    </w:p>
    <w:p w:rsidR="00000000" w:rsidDel="00000000" w:rsidP="00000000" w:rsidRDefault="00000000" w:rsidRPr="00000000" w14:paraId="00000050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Lehká ukázka třídy student: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4050" cy="4495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4050" cy="17018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Toto berte to jako dodatečný příklad s použitím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Action&lt;&gt;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734050" cy="2781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hyperlink" Target="https://itnext.io/delegates-anonymous-methods-and-lambda-expressions-5ea4e56bbd05" TargetMode="Externa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